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E6" w:rsidRPr="0068034A" w:rsidRDefault="00640DE6" w:rsidP="00240706">
      <w:pPr>
        <w:pStyle w:val="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1B514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-113030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</w:p>
    <w:p w:rsidR="00327A3A" w:rsidRPr="00397C0C" w:rsidRDefault="00327A3A" w:rsidP="00397C0C"/>
    <w:p w:rsidR="00327A3A" w:rsidRPr="00327A3A" w:rsidRDefault="00327A3A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Новосанжарська</w:t>
      </w:r>
      <w:proofErr w:type="spellEnd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рада</w:t>
      </w: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Полтавськоїобласті</w:t>
      </w:r>
      <w:proofErr w:type="spellEnd"/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0027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40027C" w:rsidRPr="00827FE0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27FE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640DE6" w:rsidRPr="00FC6B3D" w:rsidRDefault="00640DE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</w:p>
    <w:p w:rsidR="00D17783" w:rsidRPr="00D17783" w:rsidRDefault="0092239D" w:rsidP="00D17783">
      <w:pPr>
        <w:ind w:left="3" w:right="-88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березня</w:t>
      </w:r>
      <w:r w:rsidR="00D17783"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 2022 року                    смт Нові Санжари        </w:t>
      </w:r>
      <w:r w:rsidR="00A043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</w:t>
      </w:r>
      <w:r w:rsidR="00654ADB"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D17783" w:rsidRDefault="00D17783" w:rsidP="00D17783">
      <w:pPr>
        <w:ind w:left="3" w:right="-88" w:hanging="3"/>
        <w:rPr>
          <w:sz w:val="27"/>
          <w:szCs w:val="27"/>
          <w:lang w:val="uk-UA"/>
        </w:rPr>
      </w:pPr>
    </w:p>
    <w:p w:rsidR="00D17783" w:rsidRPr="00D17783" w:rsidRDefault="00D17783" w:rsidP="00D17783">
      <w:pPr>
        <w:spacing w:after="0" w:line="240" w:lineRule="auto"/>
        <w:ind w:left="3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Програми </w:t>
      </w:r>
    </w:p>
    <w:p w:rsidR="00D17783" w:rsidRPr="00D17783" w:rsidRDefault="00D17783" w:rsidP="00D17783">
      <w:pPr>
        <w:spacing w:after="0" w:line="240" w:lineRule="auto"/>
        <w:ind w:left="3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фінансової підтримки комунальних </w:t>
      </w:r>
    </w:p>
    <w:p w:rsidR="00D17783" w:rsidRPr="00D17783" w:rsidRDefault="00D17783" w:rsidP="00D17783">
      <w:pPr>
        <w:spacing w:after="0" w:line="240" w:lineRule="auto"/>
        <w:ind w:left="3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 Новосанжарської </w:t>
      </w:r>
    </w:p>
    <w:p w:rsidR="00D17783" w:rsidRPr="00D17783" w:rsidRDefault="00D17783" w:rsidP="00D17783">
      <w:pPr>
        <w:spacing w:after="0" w:line="240" w:lineRule="auto"/>
        <w:ind w:left="3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на 2022 рік</w:t>
      </w:r>
    </w:p>
    <w:p w:rsidR="00D17783" w:rsidRPr="00D17783" w:rsidRDefault="00D17783" w:rsidP="00D17783">
      <w:pPr>
        <w:ind w:left="3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BF0" w:rsidRDefault="00D17783" w:rsidP="00D36BF0">
      <w:pPr>
        <w:pStyle w:val="21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D17783">
        <w:rPr>
          <w:sz w:val="28"/>
          <w:szCs w:val="28"/>
          <w:lang w:val="uk-UA"/>
        </w:rPr>
        <w:t xml:space="preserve">Керуючись </w:t>
      </w:r>
      <w:r w:rsidR="009A5CA6">
        <w:rPr>
          <w:sz w:val="28"/>
          <w:szCs w:val="28"/>
          <w:lang w:val="uk-UA"/>
        </w:rPr>
        <w:t>під</w:t>
      </w:r>
      <w:r w:rsidR="00654ADB">
        <w:rPr>
          <w:sz w:val="28"/>
          <w:szCs w:val="28"/>
          <w:lang w:val="uk-UA"/>
        </w:rPr>
        <w:t xml:space="preserve">пунктом 1 </w:t>
      </w:r>
      <w:r w:rsidR="009A5CA6">
        <w:rPr>
          <w:sz w:val="28"/>
          <w:szCs w:val="28"/>
          <w:lang w:val="uk-UA"/>
        </w:rPr>
        <w:t xml:space="preserve">пункту «а» </w:t>
      </w:r>
      <w:r w:rsidR="0092239D">
        <w:rPr>
          <w:sz w:val="28"/>
          <w:szCs w:val="28"/>
          <w:lang w:val="uk-UA"/>
        </w:rPr>
        <w:t>статт</w:t>
      </w:r>
      <w:r w:rsidR="009A5CA6">
        <w:rPr>
          <w:sz w:val="28"/>
          <w:szCs w:val="28"/>
          <w:lang w:val="uk-UA"/>
        </w:rPr>
        <w:t>і</w:t>
      </w:r>
      <w:r w:rsidR="0092239D">
        <w:rPr>
          <w:sz w:val="28"/>
          <w:szCs w:val="28"/>
          <w:lang w:val="uk-UA"/>
        </w:rPr>
        <w:t xml:space="preserve"> 27</w:t>
      </w:r>
      <w:r w:rsidR="00D36BF0">
        <w:rPr>
          <w:sz w:val="28"/>
          <w:szCs w:val="28"/>
          <w:lang w:val="uk-UA"/>
        </w:rPr>
        <w:t xml:space="preserve">, </w:t>
      </w:r>
      <w:r w:rsidR="009A5CA6">
        <w:rPr>
          <w:sz w:val="28"/>
          <w:szCs w:val="28"/>
          <w:lang w:val="uk-UA"/>
        </w:rPr>
        <w:t xml:space="preserve">статтями </w:t>
      </w:r>
      <w:r w:rsidR="00D36BF0">
        <w:rPr>
          <w:sz w:val="28"/>
          <w:szCs w:val="28"/>
          <w:lang w:val="uk-UA"/>
        </w:rPr>
        <w:t>59</w:t>
      </w:r>
      <w:r w:rsidR="00654A20">
        <w:rPr>
          <w:sz w:val="28"/>
          <w:szCs w:val="28"/>
          <w:lang w:val="uk-UA"/>
        </w:rPr>
        <w:t>, 64</w:t>
      </w:r>
      <w:r w:rsidR="00D36BF0"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</w:t>
      </w:r>
      <w:r w:rsidR="009A5CA6">
        <w:rPr>
          <w:sz w:val="28"/>
          <w:szCs w:val="28"/>
          <w:lang w:val="uk-UA"/>
        </w:rPr>
        <w:t>п</w:t>
      </w:r>
      <w:r w:rsidR="00D36BF0">
        <w:rPr>
          <w:color w:val="000000"/>
          <w:sz w:val="28"/>
          <w:szCs w:val="27"/>
          <w:shd w:val="clear" w:color="auto" w:fill="FFFFFF"/>
          <w:lang w:val="uk-UA"/>
        </w:rPr>
        <w:t>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D36BF0">
        <w:rPr>
          <w:sz w:val="28"/>
          <w:szCs w:val="28"/>
          <w:lang w:val="uk-UA"/>
        </w:rPr>
        <w:t xml:space="preserve"> виконавчий комітет Новосанжарської селищної ради</w:t>
      </w:r>
    </w:p>
    <w:p w:rsidR="00D36BF0" w:rsidRDefault="00D36BF0" w:rsidP="00D36BF0">
      <w:pPr>
        <w:pStyle w:val="21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</w:p>
    <w:p w:rsidR="00D36BF0" w:rsidRDefault="00D36BF0" w:rsidP="00D36B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:rsidR="00D17783" w:rsidRPr="00D17783" w:rsidRDefault="00D17783" w:rsidP="00D17783">
      <w:pPr>
        <w:spacing w:after="80" w:line="240" w:lineRule="auto"/>
        <w:ind w:left="1" w:firstLineChars="252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D1778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Програми фінансової підтримки комунальних підприємств Новосанжарської селищної ради на 2022 рік, що затверджена рішенням сімнадцятої сесії Новосанжарської селищної ради восьмого скликання від 24.12.2021 року № 15 (далі Програма), зокрема:</w:t>
      </w:r>
    </w:p>
    <w:p w:rsidR="00D17783" w:rsidRPr="00D17783" w:rsidRDefault="00D17783" w:rsidP="00D17783">
      <w:pPr>
        <w:shd w:val="clear" w:color="auto" w:fill="FFFFFF"/>
        <w:spacing w:after="80"/>
        <w:ind w:left="-2" w:firstLine="5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sz w:val="28"/>
          <w:szCs w:val="28"/>
          <w:lang w:val="uk-UA"/>
        </w:rPr>
        <w:t>1.1. Передбачити фінансову підтримку Комунальному підприємству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Господар» Новосанжарської селищної ради </w:t>
      </w:r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D2A79">
        <w:rPr>
          <w:rFonts w:ascii="Times New Roman" w:hAnsi="Times New Roman" w:cs="Times New Roman"/>
          <w:sz w:val="28"/>
          <w:szCs w:val="28"/>
          <w:lang w:val="uk-UA"/>
        </w:rPr>
        <w:t>поточні видатки підприємств</w:t>
      </w:r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а (на </w:t>
      </w:r>
      <w:r w:rsidR="002D2A7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F2408C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  <w:r w:rsidR="002D2A79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в с. Суха Маячка, с. Лугове, с. Богданівка, с. </w:t>
      </w:r>
      <w:proofErr w:type="spellStart"/>
      <w:r w:rsidR="002D2A79">
        <w:rPr>
          <w:rFonts w:ascii="Times New Roman" w:hAnsi="Times New Roman" w:cs="Times New Roman"/>
          <w:sz w:val="28"/>
          <w:szCs w:val="28"/>
          <w:lang w:val="uk-UA"/>
        </w:rPr>
        <w:t>Варварівка</w:t>
      </w:r>
      <w:proofErr w:type="spellEnd"/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) в сумі </w:t>
      </w:r>
      <w:r w:rsidR="00F2408C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D1778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571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77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7783" w:rsidRPr="00D17783" w:rsidRDefault="00D17783" w:rsidP="00D17783">
      <w:pPr>
        <w:shd w:val="clear" w:color="auto" w:fill="FFFFFF"/>
        <w:ind w:left="-2" w:firstLine="5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Pr="00D1778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 зміни у Паспорт програми, визначивши загальний обсяг фінансування програми на 2022 рік за рахунок</w:t>
      </w:r>
      <w:r w:rsidR="00F2408C">
        <w:rPr>
          <w:rFonts w:ascii="Times New Roman" w:hAnsi="Times New Roman" w:cs="Times New Roman"/>
          <w:sz w:val="28"/>
          <w:szCs w:val="28"/>
          <w:lang w:val="uk-UA"/>
        </w:rPr>
        <w:t xml:space="preserve"> коштів селищного бюджету в сумі 200,0 </w:t>
      </w:r>
      <w:proofErr w:type="spellStart"/>
      <w:r w:rsidR="00F2408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2408C">
        <w:rPr>
          <w:rFonts w:ascii="Times New Roman" w:hAnsi="Times New Roman" w:cs="Times New Roman"/>
          <w:sz w:val="28"/>
          <w:szCs w:val="28"/>
          <w:lang w:val="uk-UA"/>
        </w:rPr>
        <w:t>. та</w:t>
      </w:r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8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A04312">
        <w:rPr>
          <w:rFonts w:ascii="Times New Roman" w:hAnsi="Times New Roman" w:cs="Times New Roman"/>
          <w:sz w:val="28"/>
          <w:szCs w:val="28"/>
          <w:lang w:val="uk-UA"/>
        </w:rPr>
        <w:t xml:space="preserve">передачі міжбюджетних трансфертів у вигляді іншої субвенції з бюджету </w:t>
      </w:r>
      <w:proofErr w:type="spellStart"/>
      <w:r w:rsidR="00A04312">
        <w:rPr>
          <w:rFonts w:ascii="Times New Roman" w:hAnsi="Times New Roman" w:cs="Times New Roman"/>
          <w:sz w:val="28"/>
          <w:szCs w:val="28"/>
          <w:lang w:val="uk-UA"/>
        </w:rPr>
        <w:t>Драбинівської</w:t>
      </w:r>
      <w:proofErr w:type="spellEnd"/>
      <w:r w:rsidR="00A0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A79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</w:t>
      </w:r>
      <w:r w:rsidR="00A0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78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D2A79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F2408C">
        <w:rPr>
          <w:rFonts w:ascii="Times New Roman" w:hAnsi="Times New Roman" w:cs="Times New Roman"/>
          <w:sz w:val="28"/>
          <w:szCs w:val="28"/>
          <w:lang w:val="uk-UA"/>
        </w:rPr>
        <w:t xml:space="preserve">,0 тис. грн. </w:t>
      </w:r>
      <w:r w:rsidRPr="00D17783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17783" w:rsidRPr="00D17783" w:rsidRDefault="00D17783" w:rsidP="00D17783">
      <w:pPr>
        <w:spacing w:after="100"/>
        <w:ind w:left="1" w:firstLineChars="252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sz w:val="28"/>
          <w:szCs w:val="28"/>
          <w:lang w:val="uk-UA"/>
        </w:rPr>
        <w:t>1.3. Викласти додаток до Програми «Напрямки та обсяги фінансування Програми фінансової підтримки комунальних підприємств Новосанжарської селищної ради на 2022 рік» у новій редакції (додається).</w:t>
      </w:r>
    </w:p>
    <w:p w:rsidR="00654A20" w:rsidRPr="00B571F7" w:rsidRDefault="00D17783" w:rsidP="00B571F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7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654A20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цього рішення покласти на відділ</w:t>
      </w:r>
      <w:r w:rsidR="00654A20" w:rsidRPr="00654A20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</w:t>
      </w:r>
      <w:r w:rsidR="00654A20" w:rsidRPr="00B571F7">
        <w:rPr>
          <w:rFonts w:ascii="Times New Roman" w:hAnsi="Times New Roman" w:cs="Times New Roman"/>
          <w:sz w:val="28"/>
          <w:szCs w:val="28"/>
          <w:lang w:val="uk-UA"/>
        </w:rPr>
        <w:t>селищної ради (</w:t>
      </w:r>
      <w:proofErr w:type="spellStart"/>
      <w:r w:rsidR="00654A20" w:rsidRPr="00B571F7">
        <w:rPr>
          <w:rFonts w:ascii="Times New Roman" w:hAnsi="Times New Roman" w:cs="Times New Roman"/>
          <w:sz w:val="28"/>
          <w:szCs w:val="28"/>
          <w:lang w:val="uk-UA"/>
        </w:rPr>
        <w:t>Рукас</w:t>
      </w:r>
      <w:proofErr w:type="spellEnd"/>
      <w:r w:rsidR="00654A20" w:rsidRPr="00B571F7">
        <w:rPr>
          <w:rFonts w:ascii="Times New Roman" w:hAnsi="Times New Roman" w:cs="Times New Roman"/>
          <w:sz w:val="28"/>
          <w:szCs w:val="28"/>
          <w:lang w:val="uk-UA"/>
        </w:rPr>
        <w:t xml:space="preserve"> Н.В.).</w:t>
      </w:r>
    </w:p>
    <w:p w:rsidR="00D17783" w:rsidRPr="00B571F7" w:rsidRDefault="00B571F7" w:rsidP="00B571F7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1F7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B571F7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заступника </w:t>
      </w:r>
      <w:proofErr w:type="spellStart"/>
      <w:r w:rsidRPr="00B571F7"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Pr="00B571F7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Івашину В.М</w:t>
      </w:r>
      <w:r w:rsidR="00D17783" w:rsidRPr="00B57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DE6" w:rsidRPr="00B571F7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06D4" w:rsidRDefault="008006D4" w:rsidP="009223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396" w:rsidRDefault="00640DE6" w:rsidP="00CC068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Геннадій </w:t>
      </w: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>СУПРУН</w:t>
      </w: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3B81" w:rsidRDefault="00DD3B81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3B81" w:rsidRDefault="00DD3B81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3B81" w:rsidRDefault="00DD3B81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3B81" w:rsidRDefault="00DD3B81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rPr>
          <w:rFonts w:ascii="Times New Roman" w:hAnsi="Times New Roman" w:cs="Times New Roman"/>
        </w:rPr>
      </w:pPr>
    </w:p>
    <w:p w:rsidR="002E5D07" w:rsidRDefault="002E5D07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92239D" w:rsidRDefault="0092239D" w:rsidP="002E5D07">
      <w:pPr>
        <w:spacing w:after="0" w:line="240" w:lineRule="auto"/>
        <w:rPr>
          <w:rFonts w:ascii="Times New Roman" w:hAnsi="Times New Roman" w:cs="Times New Roman"/>
        </w:rPr>
      </w:pPr>
    </w:p>
    <w:p w:rsidR="0092239D" w:rsidRDefault="0092239D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</w:rPr>
      </w:pPr>
    </w:p>
    <w:p w:rsidR="008F3F24" w:rsidRPr="008F3F24" w:rsidRDefault="008F3F24" w:rsidP="008F3F24">
      <w:pPr>
        <w:spacing w:after="80"/>
        <w:ind w:left="1" w:firstLineChars="252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F2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ПРОГРАМИ</w:t>
      </w:r>
    </w:p>
    <w:p w:rsidR="008F3F24" w:rsidRPr="008F3F24" w:rsidRDefault="008F3F24" w:rsidP="008F3F24">
      <w:pPr>
        <w:shd w:val="clear" w:color="auto" w:fill="FFFFFF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8F3F24" w:rsidRPr="008F3F24" w:rsidRDefault="008F3F24" w:rsidP="008F3F24">
      <w:pPr>
        <w:shd w:val="clear" w:color="auto" w:fill="FFFFFF"/>
        <w:spacing w:after="105"/>
        <w:ind w:left="1" w:firstLineChars="201" w:firstLine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Ініціатор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F3F24" w:rsidRPr="008F3F24" w:rsidRDefault="008F3F24" w:rsidP="008F3F24">
      <w:pPr>
        <w:shd w:val="clear" w:color="auto" w:fill="FFFFFF"/>
        <w:spacing w:after="105"/>
        <w:ind w:left="-2" w:firstLineChars="201" w:firstLine="565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Розробники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>:</w:t>
      </w:r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F3F24" w:rsidRPr="008F3F24" w:rsidRDefault="008F3F24" w:rsidP="008F3F24">
      <w:pPr>
        <w:shd w:val="clear" w:color="auto" w:fill="FFFFFF"/>
        <w:spacing w:after="105"/>
        <w:ind w:left="1" w:firstLineChars="201" w:firstLine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Відповідальними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виконавцями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визначити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>:</w:t>
      </w:r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 у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та благоустрою: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руки плюс»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Малокобелячківське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Лелюхівське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Стовбино-Долинське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F3F24" w:rsidRPr="008F3F24" w:rsidRDefault="008F3F24" w:rsidP="008F3F24">
      <w:pPr>
        <w:shd w:val="clear" w:color="auto" w:fill="FFFFFF"/>
        <w:spacing w:after="105"/>
        <w:ind w:left="1" w:firstLineChars="201" w:firstLine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>:</w:t>
      </w:r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Новосанжарська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рада та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руки плюс»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Малокобелячківське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Лелюхівське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Стовбино-Долинське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»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F3F24" w:rsidRPr="008F3F24" w:rsidRDefault="008F3F24" w:rsidP="008F3F24">
      <w:pPr>
        <w:shd w:val="clear" w:color="auto" w:fill="FFFFFF"/>
        <w:spacing w:after="105"/>
        <w:ind w:left="1" w:firstLineChars="201" w:firstLine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>:</w:t>
      </w:r>
      <w:r w:rsidRPr="008F3F24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>.</w:t>
      </w:r>
    </w:p>
    <w:p w:rsidR="00654A20" w:rsidRDefault="008F3F24" w:rsidP="008F3F24">
      <w:pPr>
        <w:shd w:val="clear" w:color="auto" w:fill="FFFFFF"/>
        <w:spacing w:after="105"/>
        <w:ind w:left="1" w:firstLineChars="201" w:firstLine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>:</w:t>
      </w:r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24" w:rsidRDefault="00654A20" w:rsidP="008F3F24">
      <w:pPr>
        <w:shd w:val="clear" w:color="auto" w:fill="FFFFFF"/>
        <w:spacing w:after="105"/>
        <w:ind w:left="1"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F24" w:rsidRPr="008F3F24">
        <w:rPr>
          <w:rFonts w:ascii="Times New Roman" w:hAnsi="Times New Roman" w:cs="Times New Roman"/>
          <w:sz w:val="28"/>
          <w:szCs w:val="28"/>
        </w:rPr>
        <w:t xml:space="preserve">бюджет Новосанжарської </w:t>
      </w:r>
      <w:proofErr w:type="spellStart"/>
      <w:r w:rsidR="008F3F24"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8F3F24"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24" w:rsidRPr="008F3F2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8F3F24"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F24" w:rsidRPr="008F3F2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54A20" w:rsidRPr="00654A20" w:rsidRDefault="00654A20" w:rsidP="008F3F24">
      <w:pPr>
        <w:shd w:val="clear" w:color="auto" w:fill="FFFFFF"/>
        <w:spacing w:after="105"/>
        <w:ind w:left="1" w:firstLineChars="201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Драбинівсько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сільської територіальної громади – 74,0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F24" w:rsidRPr="008F3F24" w:rsidRDefault="008F3F24" w:rsidP="008F3F24">
      <w:pPr>
        <w:shd w:val="clear" w:color="auto" w:fill="FFFFFF"/>
        <w:spacing w:after="105"/>
        <w:ind w:left="1" w:firstLineChars="201" w:firstLine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8F3F24">
        <w:rPr>
          <w:rFonts w:ascii="Times New Roman" w:hAnsi="Times New Roman" w:cs="Times New Roman"/>
          <w:b/>
          <w:sz w:val="28"/>
          <w:szCs w:val="28"/>
        </w:rPr>
        <w:t>:</w:t>
      </w:r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r w:rsidR="00654A20">
        <w:rPr>
          <w:rFonts w:ascii="Times New Roman" w:hAnsi="Times New Roman" w:cs="Times New Roman"/>
          <w:sz w:val="28"/>
          <w:szCs w:val="28"/>
          <w:lang w:val="uk-UA"/>
        </w:rPr>
        <w:t>274</w:t>
      </w:r>
      <w:r w:rsidRPr="008F3F2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8F3F24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8F3F24" w:rsidRPr="008F3F24" w:rsidRDefault="008F3F24" w:rsidP="008F3F24">
      <w:pPr>
        <w:shd w:val="clear" w:color="auto" w:fill="FFFFFF"/>
        <w:ind w:left="3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24" w:rsidRPr="008F3F24" w:rsidRDefault="008F3F24" w:rsidP="008F3F24">
      <w:pPr>
        <w:shd w:val="clear" w:color="auto" w:fill="FFFFFF"/>
        <w:ind w:left="3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24" w:rsidRPr="008F3F24" w:rsidRDefault="008F3F24" w:rsidP="008F3F2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F3F24" w:rsidRPr="008F3F24" w:rsidRDefault="008F3F24" w:rsidP="008F3F2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3F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8F3F24" w:rsidRPr="008F3F24" w:rsidRDefault="008F3F24" w:rsidP="008F3F24">
      <w:pPr>
        <w:shd w:val="clear" w:color="auto" w:fill="FFFFFF"/>
        <w:spacing w:after="0"/>
        <w:ind w:left="3" w:hanging="3"/>
        <w:rPr>
          <w:rFonts w:ascii="Times New Roman" w:hAnsi="Times New Roman" w:cs="Times New Roman"/>
          <w:position w:val="-1"/>
          <w:sz w:val="28"/>
          <w:szCs w:val="28"/>
        </w:rPr>
      </w:pPr>
      <w:r w:rsidRPr="008F3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до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</w:p>
    <w:p w:rsidR="008F3F24" w:rsidRPr="008F3F24" w:rsidRDefault="008F3F24" w:rsidP="008F3F24">
      <w:pPr>
        <w:shd w:val="clear" w:color="auto" w:fill="FFFFFF"/>
        <w:spacing w:after="0"/>
        <w:ind w:left="1" w:hanging="1"/>
        <w:rPr>
          <w:rFonts w:ascii="Times New Roman" w:hAnsi="Times New Roman" w:cs="Times New Roman"/>
          <w:sz w:val="28"/>
          <w:szCs w:val="28"/>
        </w:rPr>
      </w:pPr>
      <w:r w:rsidRPr="008F3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24" w:rsidRPr="008F3F24" w:rsidRDefault="008F3F24" w:rsidP="008F3F24">
      <w:pPr>
        <w:shd w:val="clear" w:color="auto" w:fill="FFFFFF"/>
        <w:spacing w:after="0"/>
        <w:ind w:left="1" w:hanging="1"/>
        <w:rPr>
          <w:rFonts w:ascii="Times New Roman" w:hAnsi="Times New Roman" w:cs="Times New Roman"/>
          <w:sz w:val="28"/>
          <w:szCs w:val="28"/>
        </w:rPr>
      </w:pPr>
      <w:r w:rsidRPr="008F3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Новосанжарської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8F3F24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8F3F24" w:rsidRDefault="008F3F24" w:rsidP="00654A20">
      <w:pPr>
        <w:shd w:val="clear" w:color="auto" w:fill="FFFFFF"/>
        <w:spacing w:after="0"/>
        <w:ind w:left="3" w:hanging="3"/>
        <w:rPr>
          <w:rFonts w:ascii="Times New Roman" w:hAnsi="Times New Roman" w:cs="Times New Roman"/>
          <w:sz w:val="28"/>
          <w:szCs w:val="28"/>
        </w:rPr>
      </w:pPr>
      <w:r w:rsidRPr="008F3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 2022 </w:t>
      </w:r>
      <w:proofErr w:type="spellStart"/>
      <w:r w:rsidRPr="008F3F24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54A20" w:rsidRPr="008F3F24" w:rsidRDefault="00654A20" w:rsidP="00654A20">
      <w:pPr>
        <w:shd w:val="clear" w:color="auto" w:fill="FFFFFF"/>
        <w:spacing w:after="0"/>
        <w:ind w:left="3" w:hanging="3"/>
        <w:rPr>
          <w:rFonts w:ascii="Times New Roman" w:hAnsi="Times New Roman" w:cs="Times New Roman"/>
          <w:sz w:val="28"/>
          <w:szCs w:val="28"/>
        </w:rPr>
      </w:pPr>
    </w:p>
    <w:p w:rsidR="008F3F24" w:rsidRPr="008F3F24" w:rsidRDefault="008F3F24" w:rsidP="00654A20">
      <w:pPr>
        <w:shd w:val="clear" w:color="auto" w:fill="FFFFFF"/>
        <w:spacing w:after="0"/>
        <w:ind w:left="3" w:hanging="3"/>
        <w:rPr>
          <w:rFonts w:ascii="Times New Roman" w:hAnsi="Times New Roman" w:cs="Times New Roman"/>
          <w:b/>
          <w:sz w:val="28"/>
          <w:szCs w:val="28"/>
        </w:rPr>
      </w:pPr>
      <w:r w:rsidRPr="008F3F24">
        <w:rPr>
          <w:rFonts w:ascii="Times New Roman" w:hAnsi="Times New Roman" w:cs="Times New Roman"/>
          <w:b/>
          <w:sz w:val="28"/>
          <w:szCs w:val="28"/>
        </w:rPr>
        <w:t xml:space="preserve">                  НАПРЯМКИ ТА ОБСЯГИ ФІНАНСУВАННЯ ПРОГРАМИ </w:t>
      </w:r>
    </w:p>
    <w:p w:rsidR="008F3F24" w:rsidRPr="008F3F24" w:rsidRDefault="008F3F24" w:rsidP="00654A20">
      <w:pPr>
        <w:shd w:val="clear" w:color="auto" w:fill="FFFFFF"/>
        <w:spacing w:after="0"/>
        <w:ind w:left="3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4">
        <w:rPr>
          <w:rFonts w:ascii="Times New Roman" w:hAnsi="Times New Roman" w:cs="Times New Roman"/>
          <w:b/>
          <w:sz w:val="28"/>
          <w:szCs w:val="28"/>
        </w:rPr>
        <w:t xml:space="preserve">ФІНАНСОВОЇ ПІДТРИМКИ КОМУНАЛЬНИХ ПІДПРИЄМСТВ НОВОСАНЖАРСЬКОЇ СЕЛИЩНОЇ РАДИ </w:t>
      </w:r>
    </w:p>
    <w:p w:rsidR="008F3F24" w:rsidRPr="008F3F24" w:rsidRDefault="008F3F24" w:rsidP="00654A20">
      <w:pPr>
        <w:shd w:val="clear" w:color="auto" w:fill="FFFFFF"/>
        <w:spacing w:after="0"/>
        <w:ind w:left="3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4">
        <w:rPr>
          <w:rFonts w:ascii="Times New Roman" w:hAnsi="Times New Roman" w:cs="Times New Roman"/>
          <w:b/>
          <w:sz w:val="28"/>
          <w:szCs w:val="28"/>
        </w:rPr>
        <w:t xml:space="preserve">НА 2022 РІК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358"/>
        <w:gridCol w:w="1984"/>
        <w:gridCol w:w="1701"/>
      </w:tblGrid>
      <w:tr w:rsidR="008F3F24" w:rsidRPr="00654A20" w:rsidTr="0092239D">
        <w:trPr>
          <w:trHeight w:val="7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Комунальні підприємства селищної ради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й обсяги фінансової підтримки комунальних підприємств:</w:t>
            </w:r>
          </w:p>
        </w:tc>
      </w:tr>
      <w:tr w:rsidR="008F3F24" w:rsidRPr="00654A20" w:rsidTr="0092239D">
        <w:trPr>
          <w:trHeight w:val="76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24" w:rsidRPr="00654A20" w:rsidRDefault="008F3F24">
            <w:pPr>
              <w:spacing w:line="240" w:lineRule="auto"/>
              <w:rPr>
                <w:rFonts w:ascii="Times New Roman" w:hAnsi="Times New Roman" w:cs="Times New Roman"/>
                <w:position w:val="-1"/>
                <w:sz w:val="28"/>
                <w:szCs w:val="28"/>
                <w:lang w:val="uk-UA"/>
              </w:rPr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24" w:rsidRPr="00654A20" w:rsidRDefault="008F3F24">
            <w:pPr>
              <w:spacing w:line="240" w:lineRule="auto"/>
              <w:rPr>
                <w:rFonts w:ascii="Times New Roman" w:hAnsi="Times New Roman" w:cs="Times New Roman"/>
                <w:position w:val="-1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поточні видатки підприємств,</w:t>
            </w:r>
          </w:p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внески до статутного капіталу</w:t>
            </w:r>
          </w:p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8F3F24" w:rsidRPr="00654A20" w:rsidTr="0092239D">
        <w:trPr>
          <w:trHeight w:val="8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hd w:val="clear" w:color="auto" w:fill="FFFFFF"/>
              <w:spacing w:after="0"/>
              <w:ind w:left="3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підприємство «Джерело» Новосанжарської селищної ради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  <w:tr w:rsidR="008F3F24" w:rsidRPr="00654A20" w:rsidTr="0092239D">
        <w:trPr>
          <w:trHeight w:val="7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«Лідер» Новосанжарської селищної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8F3F24" w:rsidRPr="00654A20" w:rsidTr="0092239D">
        <w:trPr>
          <w:trHeight w:val="15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Малокобелячківське</w:t>
            </w:r>
            <w:proofErr w:type="spellEnd"/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сільське комунальне господарство» Новосанжарської селищної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8F3F24" w:rsidRPr="00654A20" w:rsidTr="0092239D">
        <w:trPr>
          <w:trHeight w:val="11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Лелюхівське</w:t>
            </w:r>
            <w:proofErr w:type="spellEnd"/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сільське комунальне підприємство» Новосанжарської селищної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8F3F24" w:rsidRPr="00654A20" w:rsidTr="0092239D">
        <w:trPr>
          <w:trHeight w:val="7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Стовбино-Долинське</w:t>
            </w:r>
            <w:proofErr w:type="spellEnd"/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Новосанжарської селищної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8F3F24" w:rsidRPr="00654A20" w:rsidTr="009223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«Добрі руки плюс» Новосанжарської селищної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8F3F24" w:rsidRPr="00654A20" w:rsidTr="009223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«Господар» Новосанжарської селищної ради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3A3FBB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92239D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8F3F24" w:rsidRPr="00654A20" w:rsidTr="0092239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 w:rsidP="003A3FBB">
            <w:pPr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A3FBB"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24" w:rsidRPr="00654A20" w:rsidRDefault="008F3F24">
            <w:pPr>
              <w:ind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A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100,0</w:t>
            </w:r>
          </w:p>
        </w:tc>
      </w:tr>
    </w:tbl>
    <w:p w:rsidR="008F3F24" w:rsidRPr="00654A20" w:rsidRDefault="008F3F24" w:rsidP="008F3F24">
      <w:pPr>
        <w:ind w:left="3" w:hanging="3"/>
        <w:jc w:val="both"/>
        <w:rPr>
          <w:rFonts w:ascii="Times New Roman" w:hAnsi="Times New Roman" w:cs="Times New Roman"/>
          <w:position w:val="-1"/>
          <w:sz w:val="28"/>
          <w:szCs w:val="28"/>
          <w:lang w:val="uk-UA"/>
        </w:rPr>
      </w:pPr>
    </w:p>
    <w:p w:rsidR="008F3F24" w:rsidRDefault="008F3F24" w:rsidP="002E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F24" w:rsidSect="00E34CE1"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11E"/>
    <w:multiLevelType w:val="multilevel"/>
    <w:tmpl w:val="A19EB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EC1A74"/>
    <w:multiLevelType w:val="hybridMultilevel"/>
    <w:tmpl w:val="04489452"/>
    <w:lvl w:ilvl="0" w:tplc="496AC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C061D"/>
    <w:multiLevelType w:val="hybridMultilevel"/>
    <w:tmpl w:val="09F08242"/>
    <w:lvl w:ilvl="0" w:tplc="ABAA21F2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D4112"/>
    <w:multiLevelType w:val="multilevel"/>
    <w:tmpl w:val="08E0B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C86FDF"/>
    <w:multiLevelType w:val="multilevel"/>
    <w:tmpl w:val="4F4ED3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" w15:restartNumberingAfterBreak="0">
    <w:nsid w:val="4CFB7FA0"/>
    <w:multiLevelType w:val="hybridMultilevel"/>
    <w:tmpl w:val="10561786"/>
    <w:lvl w:ilvl="0" w:tplc="39FE3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D07CF"/>
    <w:multiLevelType w:val="multilevel"/>
    <w:tmpl w:val="68981846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7" w15:restartNumberingAfterBreak="0">
    <w:nsid w:val="5E47118C"/>
    <w:multiLevelType w:val="multilevel"/>
    <w:tmpl w:val="BB0A0E3C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8" w15:restartNumberingAfterBreak="0">
    <w:nsid w:val="5ECD29E8"/>
    <w:multiLevelType w:val="multilevel"/>
    <w:tmpl w:val="B4D2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047592"/>
    <w:multiLevelType w:val="multilevel"/>
    <w:tmpl w:val="834EAAC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0" w15:restartNumberingAfterBreak="0">
    <w:nsid w:val="66470913"/>
    <w:multiLevelType w:val="multilevel"/>
    <w:tmpl w:val="56D8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6B"/>
    <w:rsid w:val="00005764"/>
    <w:rsid w:val="00080290"/>
    <w:rsid w:val="000A480F"/>
    <w:rsid w:val="000C5C96"/>
    <w:rsid w:val="000E4A03"/>
    <w:rsid w:val="000E74BD"/>
    <w:rsid w:val="000F33AA"/>
    <w:rsid w:val="00163B43"/>
    <w:rsid w:val="00181C48"/>
    <w:rsid w:val="00187ED9"/>
    <w:rsid w:val="001969CE"/>
    <w:rsid w:val="001B0D1C"/>
    <w:rsid w:val="001B2145"/>
    <w:rsid w:val="001C3803"/>
    <w:rsid w:val="001D1608"/>
    <w:rsid w:val="001E493F"/>
    <w:rsid w:val="001E7648"/>
    <w:rsid w:val="00240706"/>
    <w:rsid w:val="00246938"/>
    <w:rsid w:val="00253414"/>
    <w:rsid w:val="002720E4"/>
    <w:rsid w:val="002747CD"/>
    <w:rsid w:val="00280F31"/>
    <w:rsid w:val="00285EE9"/>
    <w:rsid w:val="002875E8"/>
    <w:rsid w:val="002D2A79"/>
    <w:rsid w:val="002E03D7"/>
    <w:rsid w:val="002E38BC"/>
    <w:rsid w:val="002E45B5"/>
    <w:rsid w:val="002E5D07"/>
    <w:rsid w:val="00327A3A"/>
    <w:rsid w:val="0035331E"/>
    <w:rsid w:val="00354DF9"/>
    <w:rsid w:val="003939AE"/>
    <w:rsid w:val="00397C0C"/>
    <w:rsid w:val="003A3FBB"/>
    <w:rsid w:val="003B244D"/>
    <w:rsid w:val="003E5F7B"/>
    <w:rsid w:val="0040027C"/>
    <w:rsid w:val="004026F4"/>
    <w:rsid w:val="00436756"/>
    <w:rsid w:val="004820A0"/>
    <w:rsid w:val="004A2890"/>
    <w:rsid w:val="004B0964"/>
    <w:rsid w:val="004D51A4"/>
    <w:rsid w:val="00507EBC"/>
    <w:rsid w:val="00530DC3"/>
    <w:rsid w:val="00535181"/>
    <w:rsid w:val="00583E35"/>
    <w:rsid w:val="00584035"/>
    <w:rsid w:val="00585892"/>
    <w:rsid w:val="005A2CC0"/>
    <w:rsid w:val="005B0D80"/>
    <w:rsid w:val="005C0D15"/>
    <w:rsid w:val="005D07E0"/>
    <w:rsid w:val="005E6801"/>
    <w:rsid w:val="00605A21"/>
    <w:rsid w:val="00606137"/>
    <w:rsid w:val="00640DE6"/>
    <w:rsid w:val="00654A20"/>
    <w:rsid w:val="00654ADB"/>
    <w:rsid w:val="0065704A"/>
    <w:rsid w:val="0068034A"/>
    <w:rsid w:val="00693CDD"/>
    <w:rsid w:val="006F3F87"/>
    <w:rsid w:val="00722E99"/>
    <w:rsid w:val="00741599"/>
    <w:rsid w:val="00796D01"/>
    <w:rsid w:val="00797DC8"/>
    <w:rsid w:val="007A70FB"/>
    <w:rsid w:val="007D6128"/>
    <w:rsid w:val="008006D4"/>
    <w:rsid w:val="00804DBD"/>
    <w:rsid w:val="00807008"/>
    <w:rsid w:val="00827FE0"/>
    <w:rsid w:val="008329A9"/>
    <w:rsid w:val="0086785E"/>
    <w:rsid w:val="0089112D"/>
    <w:rsid w:val="008E30CE"/>
    <w:rsid w:val="008E549C"/>
    <w:rsid w:val="008F3F24"/>
    <w:rsid w:val="008F7E6C"/>
    <w:rsid w:val="00904A34"/>
    <w:rsid w:val="0092239D"/>
    <w:rsid w:val="009261DB"/>
    <w:rsid w:val="00930BDA"/>
    <w:rsid w:val="0093285D"/>
    <w:rsid w:val="009667BE"/>
    <w:rsid w:val="009A5CA6"/>
    <w:rsid w:val="009C1517"/>
    <w:rsid w:val="009E4CFA"/>
    <w:rsid w:val="009E512E"/>
    <w:rsid w:val="00A0081B"/>
    <w:rsid w:val="00A04312"/>
    <w:rsid w:val="00A21DE6"/>
    <w:rsid w:val="00A32CB9"/>
    <w:rsid w:val="00A6139B"/>
    <w:rsid w:val="00A6510E"/>
    <w:rsid w:val="00AA316B"/>
    <w:rsid w:val="00AA5D59"/>
    <w:rsid w:val="00AB0048"/>
    <w:rsid w:val="00AB0B0C"/>
    <w:rsid w:val="00AB3106"/>
    <w:rsid w:val="00AE3B83"/>
    <w:rsid w:val="00AE4DAF"/>
    <w:rsid w:val="00B01869"/>
    <w:rsid w:val="00B02FBC"/>
    <w:rsid w:val="00B405E3"/>
    <w:rsid w:val="00B54B5A"/>
    <w:rsid w:val="00B571F7"/>
    <w:rsid w:val="00B62DCD"/>
    <w:rsid w:val="00B74324"/>
    <w:rsid w:val="00B75F45"/>
    <w:rsid w:val="00B76FF4"/>
    <w:rsid w:val="00B97450"/>
    <w:rsid w:val="00C00D0B"/>
    <w:rsid w:val="00C10057"/>
    <w:rsid w:val="00C5137E"/>
    <w:rsid w:val="00C86396"/>
    <w:rsid w:val="00C96811"/>
    <w:rsid w:val="00CA1E7D"/>
    <w:rsid w:val="00CB0876"/>
    <w:rsid w:val="00CC068F"/>
    <w:rsid w:val="00CD1C08"/>
    <w:rsid w:val="00CE7552"/>
    <w:rsid w:val="00D05014"/>
    <w:rsid w:val="00D17783"/>
    <w:rsid w:val="00D36BF0"/>
    <w:rsid w:val="00D477B7"/>
    <w:rsid w:val="00D67BAB"/>
    <w:rsid w:val="00D814BC"/>
    <w:rsid w:val="00DA284C"/>
    <w:rsid w:val="00DD3B81"/>
    <w:rsid w:val="00DF051E"/>
    <w:rsid w:val="00E5752A"/>
    <w:rsid w:val="00E810AE"/>
    <w:rsid w:val="00EB74A4"/>
    <w:rsid w:val="00EC5FAF"/>
    <w:rsid w:val="00EC6393"/>
    <w:rsid w:val="00ED24F2"/>
    <w:rsid w:val="00ED5586"/>
    <w:rsid w:val="00ED7DFF"/>
    <w:rsid w:val="00F01A52"/>
    <w:rsid w:val="00F15699"/>
    <w:rsid w:val="00F2408C"/>
    <w:rsid w:val="00F41A39"/>
    <w:rsid w:val="00F57819"/>
    <w:rsid w:val="00F9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94B4"/>
  <w15:docId w15:val="{4934F211-088B-470E-A855-D307269A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D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40DE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3CDD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Абзац списка1"/>
    <w:basedOn w:val="a"/>
    <w:rsid w:val="00E810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810A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86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4">
    <w:name w:val="заголовок 4"/>
    <w:basedOn w:val="a"/>
    <w:next w:val="a"/>
    <w:rsid w:val="003E5F7B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21">
    <w:name w:val="Body Text Indent 2"/>
    <w:basedOn w:val="a"/>
    <w:link w:val="22"/>
    <w:rsid w:val="00DD3B8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D3B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semiHidden/>
    <w:unhideWhenUsed/>
    <w:qFormat/>
    <w:rsid w:val="00D1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outlineLvl w:val="0"/>
    </w:pPr>
    <w:rPr>
      <w:rFonts w:ascii="Courier New" w:eastAsia="Times New Roman" w:hAnsi="Courier New" w:cs="Courier New"/>
      <w:position w:val="-1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17783"/>
    <w:rPr>
      <w:rFonts w:ascii="Courier New" w:eastAsia="Times New Roman" w:hAnsi="Courier New" w:cs="Courier New"/>
      <w:position w:val="-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Admin</cp:lastModifiedBy>
  <cp:revision>36</cp:revision>
  <cp:lastPrinted>2022-03-11T06:30:00Z</cp:lastPrinted>
  <dcterms:created xsi:type="dcterms:W3CDTF">2022-03-22T09:13:00Z</dcterms:created>
  <dcterms:modified xsi:type="dcterms:W3CDTF">2022-03-28T13:25:00Z</dcterms:modified>
</cp:coreProperties>
</file>