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CA7C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r>
              <w:t>Наказ / розпорядчий документ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r>
              <w:t>ВИКОНАВЧИЙ КОМІТЕТ НОВОСАНЖАРСЬКОЇ СЕЛИЩНОЇ РАДИ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ind w:left="60"/>
              <w:jc w:val="center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sz w:val="14"/>
              </w:rPr>
              <w:t>коштів місцевого бюджету )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r>
              <w:t>27.10.2021 р. № 268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32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b/>
                <w:sz w:val="28"/>
              </w:rPr>
              <w:t>бюджетної програми місцевого бюджету на  2021 рік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r>
              <w:t>ВИКОНАВЧИЙ КОМІТЕТ НОВОСАНЖАРСЬКОЇ СЕЛИЩНОЇ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t>04382553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rPr>
                <w:b/>
              </w:rPr>
              <w:t>0217130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t>7130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t xml:space="preserve">  0421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  <w:jc w:val="both"/>
            </w:pPr>
            <w:r>
              <w:t>Здійснення  заходів із землеустрою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t>16530000000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CA7C59" w:rsidRDefault="00EE21C0">
            <w:pPr>
              <w:jc w:val="both"/>
            </w:pPr>
            <w:r>
              <w:rPr>
                <w:sz w:val="24"/>
              </w:rPr>
              <w:t>4. Обсяг бюджетних призначень/бюджетних асигнувань –</w:t>
            </w:r>
            <w:r>
              <w:rPr>
                <w:sz w:val="24"/>
                <w:u w:val="single"/>
              </w:rPr>
              <w:t>456520</w:t>
            </w:r>
            <w:r>
              <w:rPr>
                <w:sz w:val="24"/>
              </w:rPr>
              <w:t xml:space="preserve"> гривень , у тому числі загального фонду – </w:t>
            </w:r>
            <w:r>
              <w:rPr>
                <w:sz w:val="24"/>
                <w:u w:val="single"/>
              </w:rPr>
              <w:t>406520</w:t>
            </w:r>
            <w:r>
              <w:rPr>
                <w:sz w:val="24"/>
              </w:rPr>
              <w:t xml:space="preserve"> гривень та спеціального фонду – </w:t>
            </w:r>
            <w:r>
              <w:rPr>
                <w:sz w:val="24"/>
                <w:u w:val="single"/>
              </w:rPr>
              <w:t>50000</w:t>
            </w:r>
            <w:r>
              <w:rPr>
                <w:sz w:val="24"/>
              </w:rPr>
              <w:t xml:space="preserve"> гривень .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r>
              <w:rPr>
                <w:sz w:val="24"/>
              </w:rPr>
              <w:t>5. Підстави для виконання бюджетної програми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r>
              <w:t>Крнституція України, Бюджетний кодекс України, рішення восьмої сесії восьмого скликання від 31.03.2021 року №8 "Про внесення змін до рішення третьої позачергової сесії восьмого скликання від 24.грудня 2020 року "Про бюджет Новосанжарської селищної територі</w:t>
            </w:r>
            <w:r>
              <w:t xml:space="preserve">альної громади на 2021 рік", рішення девятої сесії восьмого скликання від 31.05.2021 року №8 "Про внесення змін до рішення третьої позачергової сесії восьмого скликання від 24.грудня 2020 року "Про бюджет Новосанжарської селищної територіальної громади на </w:t>
            </w:r>
            <w:r>
              <w:t>2021 рік", рішення одинадцятої позачергової сесії Новосанжарської селищної ради восьмого скликання від 05.08.2021 рішення тринадцятої сесії Новосанжарської селищної ради восьмого скликання від 02.09.2021р.,  рішення чотирнадцятої позачергової сесії Новосан</w:t>
            </w:r>
            <w:r>
              <w:t xml:space="preserve">жарської селищної ради восьмого скликання від 26.10.2021р..  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r>
              <w:rPr>
                <w:sz w:val="24"/>
              </w:rPr>
              <w:t>6.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забезпечення розвитку земельного господарства селищної територіальної громади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7C59" w:rsidRDefault="00CA7C5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5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CA7C59" w:rsidRDefault="00EE21C0">
            <w:r>
              <w:rPr>
                <w:sz w:val="24"/>
              </w:rPr>
              <w:t>7. Мета бюджетної програми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r>
              <w:t>Забезпечення сталого розвитку земельного господарства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5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r>
              <w:rPr>
                <w:sz w:val="24"/>
              </w:rPr>
              <w:t>8. Завдання бюджетної програми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7C59" w:rsidRDefault="00EE21C0">
            <w:pPr>
              <w:ind w:left="60"/>
            </w:pPr>
            <w:r>
              <w:t>Проведення інвентаризації земель та розробка проектів землеустрою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r>
              <w:rPr>
                <w:sz w:val="24"/>
              </w:rPr>
              <w:t>9. Напрями використання бюджетних коштів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5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Напрями використання бюджетних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Проведення інвентаризації земель та розробка проектів землеустрою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406 520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456 520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rPr>
                <w:b/>
              </w:rPr>
              <w:t>406 520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rPr>
                <w:b/>
              </w:rPr>
              <w:t>456 520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r>
              <w:rPr>
                <w:sz w:val="24"/>
              </w:rPr>
              <w:t>10. Перелік місцевих / регіональних програм, що виконуються у складі бюджетної програми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5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 xml:space="preserve">Найменування місцевої / регіональної програми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Програма регулювання та розвитку земельних відноси на території Новосанжарської селищної територіальної громади на 2021 рік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406 520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456 520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rPr>
                <w:b/>
              </w:rPr>
              <w:t>406 520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rPr>
                <w:b/>
              </w:rPr>
              <w:t>50 000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rPr>
                <w:b/>
              </w:rPr>
              <w:t>456 520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r>
              <w:rPr>
                <w:sz w:val="24"/>
              </w:rPr>
              <w:t xml:space="preserve">11. Результативні показники бюджетної програми 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Показники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Одиниця виміру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Джерело</w:t>
            </w:r>
            <w:r>
              <w:br/>
              <w:t>інформації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Усього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7C59" w:rsidRDefault="00EE21C0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7C59" w:rsidRDefault="00EE21C0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обсяг видатків на проведення інвентаризації земель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406 520,00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50 000,00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456 520,00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кількість земель, що потребують інвентаризації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тис.га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7C59" w:rsidRDefault="00EE21C0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7C59" w:rsidRDefault="00EE21C0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кількість земель, на яких планується провести інвентаризацію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тис.га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7C59" w:rsidRDefault="00EE21C0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7C59" w:rsidRDefault="00EE21C0">
            <w:pPr>
              <w:ind w:left="60"/>
            </w:pPr>
            <w:r>
              <w:rPr>
                <w:b/>
              </w:rPr>
              <w:t>ефективності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середні видатки на 1 га, який планується проінвентаризувати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тис.грн.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2 033,00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250,00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2 283,00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7C59" w:rsidRDefault="00EE21C0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A7C59" w:rsidRDefault="00EE21C0">
            <w:pPr>
              <w:ind w:left="60"/>
            </w:pPr>
            <w:r>
              <w:rPr>
                <w:b/>
              </w:rPr>
              <w:t>якості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CA7C59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відсоток проінвентаризованих земель до тих, які необхідно проінвентаризувати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  <w:jc w:val="center"/>
            </w:pPr>
            <w:r>
              <w:t>відс.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left="60"/>
            </w:pPr>
            <w:r>
              <w:t>Розрахунок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CA7C59" w:rsidRDefault="00CA7C59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ind w:right="60"/>
            </w:pPr>
            <w:r>
              <w:rPr>
                <w:b/>
              </w:rPr>
              <w:t>Селищний голова</w:t>
            </w: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r>
              <w:t>Геннадій СУПРУН</w:t>
            </w: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r>
              <w:t>Фінансовий відділ Новосанжарської селищної ради</w:t>
            </w: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r>
              <w:t>Начальник фінансового відділу</w:t>
            </w: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7C59" w:rsidRDefault="00EE21C0">
            <w:r>
              <w:t>Людмила ГОРОБЕЦЬ</w:t>
            </w: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56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9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A7C59" w:rsidRDefault="00EE21C0">
            <w:r>
              <w:rPr>
                <w:b/>
              </w:rPr>
              <w:t>29.10.2021 р.</w:t>
            </w: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  <w:tr w:rsidR="00CA7C59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A7C59" w:rsidRDefault="00EE21C0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CA7C59" w:rsidRDefault="00CA7C59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CA7C59" w:rsidRDefault="00CA7C59">
            <w:pPr>
              <w:pStyle w:val="EMPTYCELLSTYLE"/>
            </w:pPr>
          </w:p>
        </w:tc>
        <w:tc>
          <w:tcPr>
            <w:tcW w:w="1800" w:type="dxa"/>
          </w:tcPr>
          <w:p w:rsidR="00CA7C59" w:rsidRDefault="00CA7C59">
            <w:pPr>
              <w:pStyle w:val="EMPTYCELLSTYLE"/>
            </w:pPr>
          </w:p>
        </w:tc>
        <w:tc>
          <w:tcPr>
            <w:tcW w:w="400" w:type="dxa"/>
          </w:tcPr>
          <w:p w:rsidR="00CA7C59" w:rsidRDefault="00CA7C59">
            <w:pPr>
              <w:pStyle w:val="EMPTYCELLSTYLE"/>
            </w:pPr>
          </w:p>
        </w:tc>
      </w:tr>
    </w:tbl>
    <w:p w:rsidR="00EE21C0" w:rsidRDefault="00EE21C0"/>
    <w:sectPr w:rsidR="00EE21C0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59"/>
    <w:rsid w:val="00CA7C59"/>
    <w:rsid w:val="00EE21C0"/>
    <w:rsid w:val="00F2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4CD05-F17D-4271-9110-8EE12068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Panhenko</cp:lastModifiedBy>
  <cp:revision>2</cp:revision>
  <dcterms:created xsi:type="dcterms:W3CDTF">2021-11-10T09:08:00Z</dcterms:created>
  <dcterms:modified xsi:type="dcterms:W3CDTF">2021-11-10T09:08:00Z</dcterms:modified>
</cp:coreProperties>
</file>