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416463" w:rsidTr="008E3FA7">
        <w:trPr>
          <w:trHeight w:hRule="exact" w:val="40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18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6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8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8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0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0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0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ind w:left="60"/>
              <w:jc w:val="center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0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r>
              <w:t>19.07.2021 р. № 161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6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2021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3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4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коштів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3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0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3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pPr>
              <w:jc w:val="center"/>
            </w:pPr>
            <w:r>
              <w:rPr>
                <w:b/>
              </w:rPr>
              <w:t>0216030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pPr>
              <w:jc w:val="center"/>
            </w:pPr>
            <w:r>
              <w:t>6030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pPr>
              <w:jc w:val="center"/>
            </w:pPr>
            <w:r>
              <w:t xml:space="preserve">  0620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  <w:jc w:val="both"/>
            </w:pPr>
            <w:proofErr w:type="spellStart"/>
            <w:r>
              <w:t>Організація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0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7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416463" w:rsidRDefault="00957177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11638978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10206400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1432578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3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4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України,Рішення</w:t>
            </w:r>
            <w:proofErr w:type="spellEnd"/>
            <w:r>
              <w:t xml:space="preserve"> </w:t>
            </w:r>
            <w:proofErr w:type="spellStart"/>
            <w:r>
              <w:t>третьої</w:t>
            </w:r>
            <w:proofErr w:type="spellEnd"/>
            <w:r>
              <w:t xml:space="preserve"> </w:t>
            </w:r>
            <w:proofErr w:type="spellStart"/>
            <w:r>
              <w:t>позачергової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 </w:t>
            </w:r>
            <w:proofErr w:type="spellStart"/>
            <w:r>
              <w:t>селищної</w:t>
            </w:r>
            <w:proofErr w:type="spellEnd"/>
            <w:r>
              <w:t xml:space="preserve"> ради 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24.12.2020 р.,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девятої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31.05.2021 р., </w:t>
            </w: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десятої</w:t>
            </w:r>
            <w:proofErr w:type="spellEnd"/>
            <w:r>
              <w:t xml:space="preserve">, </w:t>
            </w:r>
            <w:proofErr w:type="spellStart"/>
            <w:r>
              <w:t>позачерговоїї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восьмого </w:t>
            </w:r>
            <w:proofErr w:type="spellStart"/>
            <w:r>
              <w:t>скликання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14.07..2021 р.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0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функціонування</w:t>
            </w:r>
            <w:proofErr w:type="spellEnd"/>
            <w:r>
              <w:t xml:space="preserve">  </w:t>
            </w:r>
            <w:proofErr w:type="spellStart"/>
            <w:r>
              <w:t>об'єктів</w:t>
            </w:r>
            <w:proofErr w:type="spellEnd"/>
            <w:r>
              <w:t xml:space="preserve"> благоустрою на </w:t>
            </w:r>
            <w:proofErr w:type="spellStart"/>
            <w:r>
              <w:t>території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8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416463" w:rsidRDefault="00957177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4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рівня</w:t>
            </w:r>
            <w:proofErr w:type="spellEnd"/>
            <w:r>
              <w:t xml:space="preserve"> благоустрою </w:t>
            </w:r>
            <w:proofErr w:type="spellStart"/>
            <w:r>
              <w:t>населених</w:t>
            </w:r>
            <w:proofErr w:type="spellEnd"/>
            <w:r>
              <w:t xml:space="preserve"> </w:t>
            </w:r>
            <w:proofErr w:type="spellStart"/>
            <w:r>
              <w:t>пунктів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256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32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00"/>
        </w:trPr>
        <w:tc>
          <w:tcPr>
            <w:tcW w:w="400" w:type="dxa"/>
          </w:tcPr>
          <w:p w:rsidR="00416463" w:rsidRDefault="0041646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5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0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463" w:rsidRDefault="00957177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</w:t>
            </w:r>
            <w:proofErr w:type="spellStart"/>
            <w:r>
              <w:t>облаштування</w:t>
            </w:r>
            <w:proofErr w:type="spellEnd"/>
            <w:r>
              <w:t xml:space="preserve"> та </w:t>
            </w:r>
            <w:proofErr w:type="spellStart"/>
            <w:r>
              <w:t>утримання</w:t>
            </w:r>
            <w:proofErr w:type="spellEnd"/>
            <w:r>
              <w:t xml:space="preserve"> в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коштів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0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5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коштів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8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proofErr w:type="spellStart"/>
            <w:r>
              <w:t>Забезпечення</w:t>
            </w:r>
            <w:proofErr w:type="spellEnd"/>
            <w:r>
              <w:t xml:space="preserve">  </w:t>
            </w:r>
            <w:proofErr w:type="spellStart"/>
            <w:r>
              <w:t>облаштування</w:t>
            </w:r>
            <w:proofErr w:type="spellEnd"/>
            <w:r>
              <w:t xml:space="preserve"> та  </w:t>
            </w:r>
            <w:proofErr w:type="spellStart"/>
            <w:r>
              <w:t>утримання</w:t>
            </w:r>
            <w:proofErr w:type="spellEnd"/>
            <w:r>
              <w:t xml:space="preserve"> в 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стані</w:t>
            </w:r>
            <w:proofErr w:type="spellEnd"/>
            <w:r>
              <w:t xml:space="preserve"> </w:t>
            </w:r>
            <w:proofErr w:type="spellStart"/>
            <w:r>
              <w:t>окремих</w:t>
            </w:r>
            <w:proofErr w:type="spellEnd"/>
            <w:r>
              <w:t xml:space="preserve"> </w:t>
            </w:r>
            <w:proofErr w:type="spellStart"/>
            <w:r>
              <w:t>територій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10 206 400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1 432 578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11 638 978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rPr>
                <w:b/>
              </w:rPr>
              <w:t>10 206 400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rPr>
                <w:b/>
              </w:rPr>
              <w:t>1 432 578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rPr>
                <w:b/>
              </w:rPr>
              <w:t>11 638 978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0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5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4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8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r>
              <w:t xml:space="preserve">Комплексна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"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 на 2021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10 206 400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1 432 578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11 638 978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rPr>
                <w:b/>
              </w:rPr>
              <w:t>10 206 400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rPr>
                <w:b/>
              </w:rPr>
              <w:t>1 432 578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rPr>
                <w:b/>
              </w:rPr>
              <w:t>11 638 978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5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8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463" w:rsidRDefault="00957177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463" w:rsidRDefault="00957177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  </w:t>
            </w:r>
            <w:proofErr w:type="spellStart"/>
            <w:r>
              <w:t>підлягає</w:t>
            </w:r>
            <w:proofErr w:type="spellEnd"/>
            <w:r>
              <w:t xml:space="preserve">  </w:t>
            </w:r>
            <w:proofErr w:type="spellStart"/>
            <w:r>
              <w:t>підлягає</w:t>
            </w:r>
            <w:proofErr w:type="spellEnd"/>
            <w:r>
              <w:t xml:space="preserve">  </w:t>
            </w:r>
            <w:proofErr w:type="spellStart"/>
            <w:r>
              <w:t>прибираннб</w:t>
            </w:r>
            <w:proofErr w:type="spellEnd"/>
            <w:r>
              <w:t>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proofErr w:type="spellStart"/>
            <w:r>
              <w:t>Штатна</w:t>
            </w:r>
            <w:proofErr w:type="spellEnd"/>
            <w:r>
              <w:t xml:space="preserve"> </w:t>
            </w:r>
            <w:proofErr w:type="spellStart"/>
            <w:r>
              <w:t>чисельність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осіб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56,50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56,50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463" w:rsidRDefault="00957177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463" w:rsidRDefault="00957177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proofErr w:type="spellStart"/>
            <w:r>
              <w:t>Площа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планується</w:t>
            </w:r>
            <w:proofErr w:type="spellEnd"/>
            <w:r>
              <w:t xml:space="preserve"> до </w:t>
            </w:r>
            <w:proofErr w:type="spellStart"/>
            <w:r>
              <w:t>прибирання</w:t>
            </w:r>
            <w:proofErr w:type="spellEnd"/>
            <w:r>
              <w:t xml:space="preserve"> , догляду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t>га.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proofErr w:type="spellStart"/>
            <w:r>
              <w:t>Звітність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459,80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459,80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463" w:rsidRDefault="00957177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463" w:rsidRDefault="00957177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прибирання</w:t>
            </w:r>
            <w:proofErr w:type="spellEnd"/>
            <w:r>
              <w:t xml:space="preserve">, догляд 1 га </w:t>
            </w:r>
            <w:proofErr w:type="spellStart"/>
            <w:r>
              <w:t>території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22 349,72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1 690,34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24 040,06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463" w:rsidRDefault="00957177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416463" w:rsidRDefault="00957177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416463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прибраної</w:t>
            </w:r>
            <w:proofErr w:type="spellEnd"/>
            <w:r>
              <w:t xml:space="preserve"> </w:t>
            </w:r>
            <w:proofErr w:type="spellStart"/>
            <w:r>
              <w:t>доглянутої</w:t>
            </w:r>
            <w:proofErr w:type="spellEnd"/>
            <w:r>
              <w:t xml:space="preserve"> </w:t>
            </w:r>
            <w:proofErr w:type="spellStart"/>
            <w:r>
              <w:t>площі</w:t>
            </w:r>
            <w:proofErr w:type="spellEnd"/>
            <w:r>
              <w:t xml:space="preserve"> до </w:t>
            </w:r>
            <w:proofErr w:type="spellStart"/>
            <w:r>
              <w:t>площі</w:t>
            </w:r>
            <w:proofErr w:type="spellEnd"/>
            <w:r>
              <w:t xml:space="preserve">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підлягає</w:t>
            </w:r>
            <w:proofErr w:type="spellEnd"/>
            <w:r>
              <w:t xml:space="preserve"> догляду та </w:t>
            </w:r>
            <w:proofErr w:type="spellStart"/>
            <w:r>
              <w:t>прибиранню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138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00"/>
        </w:trPr>
        <w:tc>
          <w:tcPr>
            <w:tcW w:w="400" w:type="dxa"/>
          </w:tcPr>
          <w:p w:rsidR="00416463" w:rsidRDefault="0041646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1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8E3FA7" w:rsidTr="008E3FA7">
        <w:trPr>
          <w:trHeight w:hRule="exact" w:val="460"/>
        </w:trPr>
        <w:tc>
          <w:tcPr>
            <w:tcW w:w="400" w:type="dxa"/>
          </w:tcPr>
          <w:p w:rsidR="008E3FA7" w:rsidRDefault="008E3FA7" w:rsidP="008E3FA7">
            <w:pPr>
              <w:pStyle w:val="EMPTYCELLSTYLE"/>
            </w:pPr>
            <w:bookmarkStart w:id="0" w:name="_GoBack" w:colFirst="2" w:colLast="5"/>
          </w:p>
        </w:tc>
        <w:tc>
          <w:tcPr>
            <w:tcW w:w="700" w:type="dxa"/>
          </w:tcPr>
          <w:p w:rsidR="008E3FA7" w:rsidRDefault="008E3FA7" w:rsidP="008E3FA7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E3FA7" w:rsidRDefault="008E3FA7" w:rsidP="008E3FA7">
            <w:pPr>
              <w:ind w:right="60"/>
              <w:rPr>
                <w:lang w:val="uk-UA"/>
              </w:rPr>
            </w:pPr>
            <w:r>
              <w:rPr>
                <w:b/>
                <w:lang w:val="uk-UA"/>
              </w:rPr>
              <w:t>Селищний голова</w:t>
            </w:r>
          </w:p>
        </w:tc>
        <w:tc>
          <w:tcPr>
            <w:tcW w:w="1480" w:type="dxa"/>
          </w:tcPr>
          <w:p w:rsidR="008E3FA7" w:rsidRDefault="008E3FA7" w:rsidP="008E3FA7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8E3FA7" w:rsidRDefault="008E3FA7" w:rsidP="008E3FA7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3FA7" w:rsidRDefault="008E3FA7" w:rsidP="008E3FA7">
            <w:proofErr w:type="spellStart"/>
            <w:r>
              <w:t>Геннадій</w:t>
            </w:r>
            <w:proofErr w:type="spellEnd"/>
            <w:r>
              <w:t xml:space="preserve"> СУПРУН</w:t>
            </w:r>
          </w:p>
        </w:tc>
        <w:tc>
          <w:tcPr>
            <w:tcW w:w="1800" w:type="dxa"/>
          </w:tcPr>
          <w:p w:rsidR="008E3FA7" w:rsidRDefault="008E3FA7" w:rsidP="008E3FA7">
            <w:pPr>
              <w:pStyle w:val="EMPTYCELLSTYLE"/>
            </w:pPr>
          </w:p>
        </w:tc>
        <w:tc>
          <w:tcPr>
            <w:tcW w:w="400" w:type="dxa"/>
          </w:tcPr>
          <w:p w:rsidR="008E3FA7" w:rsidRDefault="008E3FA7" w:rsidP="008E3FA7">
            <w:pPr>
              <w:pStyle w:val="EMPTYCELLSTYLE"/>
            </w:pPr>
          </w:p>
        </w:tc>
      </w:tr>
      <w:bookmarkEnd w:id="0"/>
      <w:tr w:rsidR="00416463" w:rsidTr="008E3FA7">
        <w:trPr>
          <w:trHeight w:hRule="exact" w:val="14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8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proofErr w:type="spellStart"/>
            <w:r>
              <w:t>Фінансовий</w:t>
            </w:r>
            <w:proofErr w:type="spellEnd"/>
            <w:r>
              <w:t xml:space="preserve"> </w:t>
            </w:r>
            <w:proofErr w:type="spellStart"/>
            <w:r>
              <w:t>відділ</w:t>
            </w:r>
            <w:proofErr w:type="spellEnd"/>
            <w:r>
              <w:t xml:space="preserve"> Новосанжарської </w:t>
            </w:r>
            <w:proofErr w:type="spellStart"/>
            <w:r>
              <w:t>селищної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6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r>
              <w:t xml:space="preserve">Заступник начальника </w:t>
            </w:r>
            <w:proofErr w:type="spellStart"/>
            <w:r>
              <w:t>фінансового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16463" w:rsidRDefault="00957177">
            <w:proofErr w:type="spellStart"/>
            <w:r>
              <w:t>Таїса</w:t>
            </w:r>
            <w:proofErr w:type="spellEnd"/>
            <w:r>
              <w:t xml:space="preserve"> СУБОТА</w:t>
            </w: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14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42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416463" w:rsidRDefault="00957177">
            <w:r>
              <w:rPr>
                <w:b/>
              </w:rPr>
              <w:t>19.07.2021 р.</w:t>
            </w: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  <w:tr w:rsidR="00416463" w:rsidTr="008E3FA7">
        <w:trPr>
          <w:trHeight w:hRule="exact" w:val="280"/>
        </w:trPr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416463" w:rsidRDefault="00957177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16463" w:rsidRDefault="00416463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416463" w:rsidRDefault="00416463">
            <w:pPr>
              <w:pStyle w:val="EMPTYCELLSTYLE"/>
            </w:pPr>
          </w:p>
        </w:tc>
        <w:tc>
          <w:tcPr>
            <w:tcW w:w="1800" w:type="dxa"/>
          </w:tcPr>
          <w:p w:rsidR="00416463" w:rsidRDefault="00416463">
            <w:pPr>
              <w:pStyle w:val="EMPTYCELLSTYLE"/>
            </w:pPr>
          </w:p>
        </w:tc>
        <w:tc>
          <w:tcPr>
            <w:tcW w:w="400" w:type="dxa"/>
          </w:tcPr>
          <w:p w:rsidR="00416463" w:rsidRDefault="00416463">
            <w:pPr>
              <w:pStyle w:val="EMPTYCELLSTYLE"/>
            </w:pPr>
          </w:p>
        </w:tc>
      </w:tr>
    </w:tbl>
    <w:p w:rsidR="00957177" w:rsidRDefault="00957177"/>
    <w:sectPr w:rsidR="00957177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63"/>
    <w:rsid w:val="002F59F0"/>
    <w:rsid w:val="00416463"/>
    <w:rsid w:val="008E3FA7"/>
    <w:rsid w:val="0095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6662C-CCB9-4484-B5FB-8C42F733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3</cp:revision>
  <dcterms:created xsi:type="dcterms:W3CDTF">2021-07-27T12:56:00Z</dcterms:created>
  <dcterms:modified xsi:type="dcterms:W3CDTF">2021-07-27T13:39:00Z</dcterms:modified>
</cp:coreProperties>
</file>