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43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341C" w:rsidRDefault="0054341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341C" w:rsidRDefault="0054341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341C" w:rsidRDefault="0054341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ind w:left="60"/>
              <w:jc w:val="center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r>
              <w:t>03.06.2021 р. № 122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32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341C" w:rsidRDefault="0054341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rPr>
                <w:b/>
              </w:rPr>
              <w:t>0217691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t>7691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  <w:jc w:val="both"/>
            </w:pP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цільових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утворених</w:t>
            </w:r>
            <w:proofErr w:type="spellEnd"/>
            <w:r>
              <w:t xml:space="preserve"> Верховною Радою </w:t>
            </w:r>
            <w:proofErr w:type="spellStart"/>
            <w:r>
              <w:t>Автономної</w:t>
            </w:r>
            <w:proofErr w:type="spellEnd"/>
            <w:r>
              <w:t xml:space="preserve">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Крим</w:t>
            </w:r>
            <w:proofErr w:type="spellEnd"/>
            <w:r>
              <w:t xml:space="preserve">, органами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і </w:t>
            </w:r>
            <w:proofErr w:type="spellStart"/>
            <w:r>
              <w:t>місцевими</w:t>
            </w:r>
            <w:proofErr w:type="spellEnd"/>
            <w:r>
              <w:t xml:space="preserve"> органами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і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утворених</w:t>
            </w:r>
            <w:proofErr w:type="spellEnd"/>
            <w:r>
              <w:t xml:space="preserve"> Верховною Радою </w:t>
            </w:r>
            <w:proofErr w:type="spellStart"/>
            <w:r>
              <w:t>Автономної</w:t>
            </w:r>
            <w:proofErr w:type="spellEnd"/>
            <w:r>
              <w:t xml:space="preserve">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Крим</w:t>
            </w:r>
            <w:proofErr w:type="spellEnd"/>
            <w:r>
              <w:t xml:space="preserve">, органами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t>амоврядування</w:t>
            </w:r>
            <w:proofErr w:type="spellEnd"/>
            <w:r>
              <w:t xml:space="preserve"> і </w:t>
            </w:r>
            <w:proofErr w:type="spellStart"/>
            <w:r>
              <w:t>місцевими</w:t>
            </w:r>
            <w:proofErr w:type="spellEnd"/>
            <w:r>
              <w:t xml:space="preserve"> органами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341C" w:rsidRDefault="002B2F6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636855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636855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r>
              <w:t xml:space="preserve">  </w:t>
            </w: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службу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", Постанова КМУ №228 </w:t>
            </w:r>
            <w:proofErr w:type="spellStart"/>
            <w:r>
              <w:t>від</w:t>
            </w:r>
            <w:proofErr w:type="spellEnd"/>
            <w:r>
              <w:t xml:space="preserve"> 28.02.2002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</w:t>
            </w:r>
            <w:r>
              <w:t>рдження</w:t>
            </w:r>
            <w:proofErr w:type="spellEnd"/>
            <w:r>
              <w:t xml:space="preserve"> та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", Наказ МФУ №836 </w:t>
            </w:r>
            <w:proofErr w:type="spellStart"/>
            <w:r>
              <w:t>від</w:t>
            </w:r>
            <w:proofErr w:type="spellEnd"/>
            <w:r>
              <w:t xml:space="preserve"> 26.08.2014 року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",Наказ МФУ №648 </w:t>
            </w:r>
            <w:proofErr w:type="spellStart"/>
            <w:r>
              <w:t>від</w:t>
            </w:r>
            <w:proofErr w:type="spellEnd"/>
            <w:r>
              <w:t xml:space="preserve"> 17.07.2015 року "Про </w:t>
            </w:r>
            <w:proofErr w:type="spellStart"/>
            <w:r>
              <w:t>затвердже</w:t>
            </w:r>
            <w:r>
              <w:t>ння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форм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бюджетівіїї</w:t>
            </w:r>
            <w:proofErr w:type="spellEnd"/>
            <w:r>
              <w:t xml:space="preserve">, Наказ МФУ №793 </w:t>
            </w:r>
            <w:proofErr w:type="spellStart"/>
            <w:r>
              <w:t>від</w:t>
            </w:r>
            <w:proofErr w:type="spellEnd"/>
            <w:r>
              <w:t xml:space="preserve"> 20.09.2017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 </w:t>
            </w:r>
            <w:proofErr w:type="spellStart"/>
            <w:r>
              <w:t>програмної</w:t>
            </w:r>
            <w:proofErr w:type="spellEnd"/>
            <w:r>
              <w:t xml:space="preserve"> </w:t>
            </w:r>
            <w:proofErr w:type="spellStart"/>
            <w: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та </w:t>
            </w:r>
            <w:proofErr w:type="spellStart"/>
            <w: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>".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сьомої</w:t>
            </w:r>
            <w:proofErr w:type="spellEnd"/>
            <w:r>
              <w:t xml:space="preserve"> 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</w:t>
            </w:r>
            <w:r>
              <w:t>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04.03.2021 р,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341C" w:rsidRDefault="0054341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5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 </w:t>
            </w:r>
            <w:proofErr w:type="spellStart"/>
            <w:r>
              <w:t>належних</w:t>
            </w:r>
            <w:proofErr w:type="spellEnd"/>
            <w:r>
              <w:t xml:space="preserve"> умов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 </w:t>
            </w:r>
            <w:proofErr w:type="spellStart"/>
            <w:r>
              <w:t>медичної</w:t>
            </w:r>
            <w:proofErr w:type="spellEnd"/>
            <w:r>
              <w:t xml:space="preserve"> 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 </w:t>
            </w:r>
            <w:proofErr w:type="spellStart"/>
            <w:r>
              <w:t>перебування</w:t>
            </w:r>
            <w:proofErr w:type="spellEnd"/>
            <w:r>
              <w:t>)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4341C" w:rsidRDefault="002B2F6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roofErr w:type="spellStart"/>
            <w:r>
              <w:t>Забезпечення</w:t>
            </w:r>
            <w:proofErr w:type="spellEnd"/>
            <w:r>
              <w:t xml:space="preserve">  </w:t>
            </w:r>
            <w:proofErr w:type="spellStart"/>
            <w:r>
              <w:t>належних</w:t>
            </w:r>
            <w:proofErr w:type="spellEnd"/>
            <w:r>
              <w:t xml:space="preserve"> умов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 </w:t>
            </w:r>
            <w:proofErr w:type="spellStart"/>
            <w:r>
              <w:t>медичної</w:t>
            </w:r>
            <w:proofErr w:type="spellEnd"/>
            <w:r>
              <w:t xml:space="preserve">  </w:t>
            </w:r>
            <w:proofErr w:type="spellStart"/>
            <w:r>
              <w:t>допомоги</w:t>
            </w:r>
            <w:proofErr w:type="spellEnd"/>
            <w:r>
              <w:t xml:space="preserve">  </w:t>
            </w:r>
            <w:proofErr w:type="spellStart"/>
            <w:r>
              <w:t>населенню</w:t>
            </w:r>
            <w:proofErr w:type="spellEnd"/>
            <w:r>
              <w:t xml:space="preserve"> зав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 ( </w:t>
            </w:r>
            <w:proofErr w:type="spellStart"/>
            <w:r>
              <w:t>перебування</w:t>
            </w:r>
            <w:proofErr w:type="spellEnd"/>
            <w:r>
              <w:t>)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5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41C" w:rsidRDefault="002B2F63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 </w:t>
            </w:r>
            <w:proofErr w:type="spellStart"/>
            <w:r>
              <w:t>приміщень</w:t>
            </w:r>
            <w:proofErr w:type="spellEnd"/>
            <w:r>
              <w:t xml:space="preserve">  </w:t>
            </w:r>
            <w:proofErr w:type="spellStart"/>
            <w:r>
              <w:t>амбулаторій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-</w:t>
            </w:r>
            <w:proofErr w:type="spellStart"/>
            <w:r>
              <w:t>сімейної</w:t>
            </w:r>
            <w:proofErr w:type="spellEnd"/>
            <w:r>
              <w:t xml:space="preserve"> медицин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5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</w:t>
            </w:r>
            <w:proofErr w:type="spellStart"/>
            <w:r>
              <w:t>амбулаторій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практики-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136 855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136 855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генеральних</w:t>
            </w:r>
            <w:proofErr w:type="spellEnd"/>
            <w:r>
              <w:t xml:space="preserve"> </w:t>
            </w:r>
            <w:proofErr w:type="spellStart"/>
            <w:r>
              <w:t>планів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rPr>
                <w:b/>
              </w:rPr>
              <w:t>636 855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rPr>
                <w:b/>
              </w:rPr>
              <w:t>636 855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5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</w:t>
            </w:r>
            <w:proofErr w:type="spellStart"/>
            <w:r>
              <w:t>Новосанжарський</w:t>
            </w:r>
            <w:proofErr w:type="spellEnd"/>
            <w:r>
              <w:t xml:space="preserve"> Центр </w:t>
            </w:r>
            <w:proofErr w:type="spellStart"/>
            <w:r>
              <w:t>первинної</w:t>
            </w:r>
            <w:proofErr w:type="spellEnd"/>
            <w:r>
              <w:t xml:space="preserve"> медико-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Полтавського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 </w:t>
            </w:r>
            <w:proofErr w:type="spellStart"/>
            <w:r>
              <w:t>області</w:t>
            </w:r>
            <w:proofErr w:type="spellEnd"/>
            <w:r>
              <w:t xml:space="preserve">"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136 855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136 855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містобудівно</w:t>
            </w:r>
            <w:r>
              <w:t>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в межах </w:t>
            </w:r>
            <w:proofErr w:type="spellStart"/>
            <w:r>
              <w:t>території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rPr>
                <w:b/>
              </w:rPr>
              <w:t>636 855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rPr>
                <w:b/>
              </w:rPr>
              <w:t>636 855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41C" w:rsidRDefault="002B2F6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41C" w:rsidRDefault="002B2F6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136 855,00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136 855,00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500 000,00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500 000,00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5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341C" w:rsidRDefault="0054341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41C" w:rsidRDefault="002B2F6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41C" w:rsidRDefault="002B2F6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 </w:t>
            </w:r>
            <w:proofErr w:type="spellStart"/>
            <w:r>
              <w:t>проведення</w:t>
            </w:r>
            <w:proofErr w:type="spellEnd"/>
            <w:r>
              <w:t xml:space="preserve"> 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укладених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генеральних</w:t>
            </w:r>
            <w:proofErr w:type="spellEnd"/>
            <w:r>
              <w:t xml:space="preserve"> </w:t>
            </w:r>
            <w:proofErr w:type="spellStart"/>
            <w:r>
              <w:t>планів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виготовити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41C" w:rsidRDefault="002B2F6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41C" w:rsidRDefault="002B2F6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 поточного ремонту одного  </w:t>
            </w:r>
            <w:proofErr w:type="spellStart"/>
            <w:r>
              <w:t>об'єкта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34 213,75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34 213,75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виготовлення</w:t>
            </w:r>
            <w:proofErr w:type="spellEnd"/>
            <w:r>
              <w:t xml:space="preserve"> 1 генплану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166 666,67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166 666,67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41C" w:rsidRDefault="002B2F6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341C" w:rsidRDefault="002B2F6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 </w:t>
            </w:r>
            <w:proofErr w:type="spellStart"/>
            <w:r>
              <w:t>освоєння</w:t>
            </w:r>
            <w:proofErr w:type="spellEnd"/>
            <w:r>
              <w:t xml:space="preserve"> 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543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41C" w:rsidRDefault="002B2F63">
            <w:r>
              <w:t>Людмила ГОРОБЕЦЬ</w:t>
            </w: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341C" w:rsidRDefault="002B2F63">
            <w:r>
              <w:rPr>
                <w:b/>
              </w:rPr>
              <w:t>03.06.2021 р.</w:t>
            </w: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  <w:tr w:rsidR="00543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41C" w:rsidRDefault="002B2F6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1800" w:type="dxa"/>
          </w:tcPr>
          <w:p w:rsidR="0054341C" w:rsidRDefault="0054341C">
            <w:pPr>
              <w:pStyle w:val="EMPTYCELLSTYLE"/>
            </w:pPr>
          </w:p>
        </w:tc>
        <w:tc>
          <w:tcPr>
            <w:tcW w:w="400" w:type="dxa"/>
          </w:tcPr>
          <w:p w:rsidR="0054341C" w:rsidRDefault="0054341C">
            <w:pPr>
              <w:pStyle w:val="EMPTYCELLSTYLE"/>
            </w:pPr>
          </w:p>
        </w:tc>
      </w:tr>
    </w:tbl>
    <w:p w:rsidR="002B2F63" w:rsidRDefault="002B2F63"/>
    <w:sectPr w:rsidR="002B2F6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1C"/>
    <w:rsid w:val="0009445C"/>
    <w:rsid w:val="002B2F63"/>
    <w:rsid w:val="005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A02DB-5974-4FF8-90DA-22A7174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2021-06-14T13:53:00Z</dcterms:created>
  <dcterms:modified xsi:type="dcterms:W3CDTF">2021-06-14T13:53:00Z</dcterms:modified>
</cp:coreProperties>
</file>