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B03A2" w14:textId="77777777" w:rsidR="00630F05" w:rsidRPr="001D31ED" w:rsidRDefault="00630F05" w:rsidP="00630F05">
      <w:pPr>
        <w:jc w:val="center"/>
        <w:rPr>
          <w:sz w:val="28"/>
          <w:szCs w:val="28"/>
          <w:lang w:val="uk-UA"/>
        </w:rPr>
      </w:pPr>
      <w:r w:rsidRPr="001D31ED">
        <w:rPr>
          <w:sz w:val="28"/>
          <w:szCs w:val="28"/>
          <w:lang w:val="uk-UA"/>
        </w:rPr>
        <w:t>ДОВІДКА</w:t>
      </w:r>
    </w:p>
    <w:p w14:paraId="57B745DA" w14:textId="77777777" w:rsidR="00630F05" w:rsidRDefault="00630F05" w:rsidP="00630F05">
      <w:pPr>
        <w:jc w:val="center"/>
        <w:rPr>
          <w:sz w:val="28"/>
          <w:szCs w:val="28"/>
          <w:lang w:val="uk-UA"/>
        </w:rPr>
      </w:pPr>
      <w:r w:rsidRPr="001D31ED">
        <w:rPr>
          <w:sz w:val="28"/>
          <w:szCs w:val="28"/>
          <w:lang w:val="uk-UA"/>
        </w:rPr>
        <w:t xml:space="preserve">про консультації в ході розробки проекту «Генеральний план та план зонування території </w:t>
      </w:r>
    </w:p>
    <w:p w14:paraId="2CFFB189" w14:textId="77777777" w:rsidR="00630F05" w:rsidRPr="001D31ED" w:rsidRDefault="00630F05" w:rsidP="00630F05">
      <w:pPr>
        <w:jc w:val="center"/>
        <w:rPr>
          <w:sz w:val="28"/>
          <w:szCs w:val="28"/>
          <w:lang w:val="uk-UA"/>
        </w:rPr>
      </w:pPr>
      <w:r w:rsidRPr="001D31ED">
        <w:rPr>
          <w:sz w:val="28"/>
          <w:szCs w:val="28"/>
          <w:lang w:val="uk-UA"/>
        </w:rPr>
        <w:t>(у складі генерального плану) села Зачепилівка Новосанжарського району Полтавської області»</w:t>
      </w:r>
    </w:p>
    <w:p w14:paraId="12C1AB9D" w14:textId="1A75A503" w:rsidR="00441AAB" w:rsidRDefault="00441AAB" w:rsidP="00630F05">
      <w:pPr>
        <w:jc w:val="center"/>
        <w:rPr>
          <w:sz w:val="28"/>
          <w:szCs w:val="28"/>
          <w:lang w:val="uk-UA"/>
        </w:rPr>
      </w:pPr>
    </w:p>
    <w:tbl>
      <w:tblPr>
        <w:tblStyle w:val="a3"/>
        <w:tblW w:w="15575" w:type="dxa"/>
        <w:tblInd w:w="-289" w:type="dxa"/>
        <w:tblLook w:val="04A0" w:firstRow="1" w:lastRow="0" w:firstColumn="1" w:lastColumn="0" w:noHBand="0" w:noVBand="1"/>
      </w:tblPr>
      <w:tblGrid>
        <w:gridCol w:w="704"/>
        <w:gridCol w:w="2268"/>
        <w:gridCol w:w="2427"/>
        <w:gridCol w:w="4524"/>
        <w:gridCol w:w="2126"/>
        <w:gridCol w:w="3526"/>
      </w:tblGrid>
      <w:tr w:rsidR="00630F05" w14:paraId="26D5C485" w14:textId="77777777" w:rsidTr="00630F05">
        <w:tc>
          <w:tcPr>
            <w:tcW w:w="704" w:type="dxa"/>
          </w:tcPr>
          <w:p w14:paraId="041FA23C" w14:textId="77777777" w:rsidR="00630F05" w:rsidRDefault="00630F05" w:rsidP="00630F05">
            <w:pPr>
              <w:jc w:val="center"/>
              <w:rPr>
                <w:sz w:val="28"/>
                <w:szCs w:val="28"/>
                <w:lang w:val="uk-UA"/>
              </w:rPr>
            </w:pPr>
            <w:r>
              <w:rPr>
                <w:sz w:val="28"/>
                <w:szCs w:val="28"/>
                <w:lang w:val="uk-UA"/>
              </w:rPr>
              <w:t>№</w:t>
            </w:r>
          </w:p>
          <w:p w14:paraId="5E0F9EDC" w14:textId="2C2DCC82" w:rsidR="00630F05" w:rsidRDefault="00630F05" w:rsidP="00630F05">
            <w:pPr>
              <w:jc w:val="center"/>
              <w:rPr>
                <w:sz w:val="28"/>
                <w:szCs w:val="28"/>
                <w:lang w:val="uk-UA"/>
              </w:rPr>
            </w:pPr>
            <w:r>
              <w:rPr>
                <w:sz w:val="28"/>
                <w:szCs w:val="28"/>
                <w:lang w:val="uk-UA"/>
              </w:rPr>
              <w:t>з/п</w:t>
            </w:r>
          </w:p>
        </w:tc>
        <w:tc>
          <w:tcPr>
            <w:tcW w:w="2268" w:type="dxa"/>
          </w:tcPr>
          <w:p w14:paraId="184E5702" w14:textId="2D846031" w:rsidR="00630F05" w:rsidRDefault="00630F05" w:rsidP="00630F05">
            <w:pPr>
              <w:jc w:val="center"/>
              <w:rPr>
                <w:sz w:val="28"/>
                <w:szCs w:val="28"/>
                <w:lang w:val="uk-UA"/>
              </w:rPr>
            </w:pPr>
            <w:r w:rsidRPr="0009236F">
              <w:rPr>
                <w:sz w:val="28"/>
                <w:szCs w:val="28"/>
                <w:lang w:val="uk-UA"/>
              </w:rPr>
              <w:t>Уповноважений орган</w:t>
            </w:r>
          </w:p>
        </w:tc>
        <w:tc>
          <w:tcPr>
            <w:tcW w:w="2427" w:type="dxa"/>
          </w:tcPr>
          <w:p w14:paraId="106CAF96" w14:textId="66DE218E" w:rsidR="00630F05" w:rsidRDefault="00630F05" w:rsidP="00630F05">
            <w:pPr>
              <w:jc w:val="center"/>
              <w:rPr>
                <w:sz w:val="28"/>
                <w:szCs w:val="28"/>
                <w:lang w:val="uk-UA"/>
              </w:rPr>
            </w:pPr>
            <w:r w:rsidRPr="0009236F">
              <w:rPr>
                <w:sz w:val="28"/>
                <w:szCs w:val="28"/>
                <w:lang w:val="uk-UA"/>
              </w:rPr>
              <w:t>Редакція частини проекту ДДП/звіту про СЕО, до якого висловлено зауваження (пропозиції)</w:t>
            </w:r>
          </w:p>
        </w:tc>
        <w:tc>
          <w:tcPr>
            <w:tcW w:w="4524" w:type="dxa"/>
          </w:tcPr>
          <w:p w14:paraId="3498C863" w14:textId="1BB8F8AF" w:rsidR="00630F05" w:rsidRDefault="00630F05" w:rsidP="00630F05">
            <w:pPr>
              <w:jc w:val="center"/>
              <w:rPr>
                <w:sz w:val="28"/>
                <w:szCs w:val="28"/>
                <w:lang w:val="uk-UA"/>
              </w:rPr>
            </w:pPr>
            <w:r w:rsidRPr="0009236F">
              <w:rPr>
                <w:sz w:val="28"/>
                <w:szCs w:val="28"/>
                <w:lang w:val="uk-UA"/>
              </w:rPr>
              <w:t>Зауваження / пропозиція</w:t>
            </w:r>
          </w:p>
        </w:tc>
        <w:tc>
          <w:tcPr>
            <w:tcW w:w="2126" w:type="dxa"/>
          </w:tcPr>
          <w:p w14:paraId="644C4EF6" w14:textId="59865F17" w:rsidR="00630F05" w:rsidRDefault="00630F05" w:rsidP="00630F05">
            <w:pPr>
              <w:jc w:val="center"/>
              <w:rPr>
                <w:sz w:val="28"/>
                <w:szCs w:val="28"/>
                <w:lang w:val="uk-UA"/>
              </w:rPr>
            </w:pPr>
            <w:r w:rsidRPr="0009236F">
              <w:rPr>
                <w:sz w:val="28"/>
                <w:szCs w:val="28"/>
                <w:lang w:val="uk-UA"/>
              </w:rPr>
              <w:t>Спосіб врахування (враховано/ не враховано/ враховано частково)</w:t>
            </w:r>
          </w:p>
        </w:tc>
        <w:tc>
          <w:tcPr>
            <w:tcW w:w="3526" w:type="dxa"/>
          </w:tcPr>
          <w:p w14:paraId="5E7E1AC4" w14:textId="293D02A6" w:rsidR="00630F05" w:rsidRDefault="00630F05" w:rsidP="00630F05">
            <w:pPr>
              <w:jc w:val="center"/>
              <w:rPr>
                <w:sz w:val="28"/>
                <w:szCs w:val="28"/>
                <w:lang w:val="uk-UA"/>
              </w:rPr>
            </w:pPr>
            <w:r w:rsidRPr="0009236F">
              <w:rPr>
                <w:sz w:val="28"/>
                <w:szCs w:val="28"/>
                <w:lang w:val="uk-UA"/>
              </w:rPr>
              <w:t>Обґрунтування</w:t>
            </w:r>
          </w:p>
        </w:tc>
      </w:tr>
      <w:tr w:rsidR="00630F05" w14:paraId="79321B87" w14:textId="77777777" w:rsidTr="00630F05">
        <w:tc>
          <w:tcPr>
            <w:tcW w:w="704" w:type="dxa"/>
          </w:tcPr>
          <w:p w14:paraId="71E0EAB2" w14:textId="3B2D27FE" w:rsidR="00630F05" w:rsidRDefault="00630F05" w:rsidP="00630F05">
            <w:pPr>
              <w:jc w:val="center"/>
              <w:rPr>
                <w:sz w:val="28"/>
                <w:szCs w:val="28"/>
                <w:lang w:val="uk-UA"/>
              </w:rPr>
            </w:pPr>
            <w:r>
              <w:rPr>
                <w:sz w:val="28"/>
                <w:szCs w:val="28"/>
                <w:lang w:val="uk-UA"/>
              </w:rPr>
              <w:t>1</w:t>
            </w:r>
          </w:p>
        </w:tc>
        <w:tc>
          <w:tcPr>
            <w:tcW w:w="2268" w:type="dxa"/>
          </w:tcPr>
          <w:p w14:paraId="5C989A56" w14:textId="2E11F0C2" w:rsidR="00630F05" w:rsidRDefault="00630F05" w:rsidP="00630F05">
            <w:pPr>
              <w:jc w:val="center"/>
              <w:rPr>
                <w:sz w:val="28"/>
                <w:szCs w:val="28"/>
                <w:lang w:val="uk-UA"/>
              </w:rPr>
            </w:pPr>
            <w:r w:rsidRPr="0009236F">
              <w:rPr>
                <w:sz w:val="28"/>
                <w:szCs w:val="28"/>
                <w:lang w:val="uk-UA"/>
              </w:rPr>
              <w:t>Департамент екології та природних ресурсів Полтавської ОДА</w:t>
            </w:r>
          </w:p>
        </w:tc>
        <w:tc>
          <w:tcPr>
            <w:tcW w:w="2427" w:type="dxa"/>
          </w:tcPr>
          <w:p w14:paraId="6565AFD4" w14:textId="77777777" w:rsidR="00630F05" w:rsidRDefault="00630F05" w:rsidP="00630F05">
            <w:pPr>
              <w:jc w:val="center"/>
              <w:rPr>
                <w:sz w:val="28"/>
                <w:szCs w:val="28"/>
                <w:lang w:val="uk-UA"/>
              </w:rPr>
            </w:pPr>
          </w:p>
        </w:tc>
        <w:tc>
          <w:tcPr>
            <w:tcW w:w="4524" w:type="dxa"/>
          </w:tcPr>
          <w:p w14:paraId="09174903" w14:textId="54C7A385" w:rsidR="00630F05" w:rsidRDefault="00630F05" w:rsidP="00630F05">
            <w:pPr>
              <w:jc w:val="center"/>
              <w:rPr>
                <w:sz w:val="28"/>
                <w:szCs w:val="28"/>
                <w:lang w:val="uk-UA"/>
              </w:rPr>
            </w:pPr>
            <w:r w:rsidRPr="0009236F">
              <w:rPr>
                <w:sz w:val="28"/>
                <w:szCs w:val="28"/>
                <w:lang w:val="uk-UA"/>
              </w:rPr>
              <w:t>Надано пропозицію про направлення відповідних документів  до затвердження містобудівної документації на консультацію до центральних органів  виконавчої влади  (лист від 25.02.2020 № 1011/04.3-12)</w:t>
            </w:r>
          </w:p>
        </w:tc>
        <w:tc>
          <w:tcPr>
            <w:tcW w:w="2126" w:type="dxa"/>
          </w:tcPr>
          <w:p w14:paraId="5D58A844" w14:textId="73B9C2D5" w:rsidR="00630F05" w:rsidRDefault="00630F05" w:rsidP="00630F05">
            <w:pPr>
              <w:jc w:val="center"/>
              <w:rPr>
                <w:sz w:val="28"/>
                <w:szCs w:val="28"/>
                <w:lang w:val="uk-UA"/>
              </w:rPr>
            </w:pPr>
            <w:r>
              <w:rPr>
                <w:sz w:val="28"/>
                <w:szCs w:val="28"/>
                <w:lang w:val="uk-UA"/>
              </w:rPr>
              <w:t>Враховано</w:t>
            </w:r>
          </w:p>
        </w:tc>
        <w:tc>
          <w:tcPr>
            <w:tcW w:w="3526" w:type="dxa"/>
          </w:tcPr>
          <w:p w14:paraId="6EFDD242" w14:textId="77777777" w:rsidR="00630F05" w:rsidRPr="0009236F" w:rsidRDefault="00630F05" w:rsidP="00630F05">
            <w:pPr>
              <w:rPr>
                <w:sz w:val="28"/>
                <w:szCs w:val="28"/>
                <w:lang w:val="uk-UA"/>
              </w:rPr>
            </w:pPr>
            <w:r w:rsidRPr="0009236F">
              <w:rPr>
                <w:sz w:val="28"/>
                <w:szCs w:val="28"/>
                <w:lang w:val="uk-UA"/>
              </w:rPr>
              <w:t xml:space="preserve">ч. 1 </w:t>
            </w:r>
            <w:proofErr w:type="spellStart"/>
            <w:r w:rsidRPr="0009236F">
              <w:rPr>
                <w:sz w:val="28"/>
                <w:szCs w:val="28"/>
                <w:lang w:val="uk-UA"/>
              </w:rPr>
              <w:t>ст</w:t>
            </w:r>
            <w:proofErr w:type="spellEnd"/>
            <w:r w:rsidRPr="0009236F">
              <w:rPr>
                <w:sz w:val="28"/>
                <w:szCs w:val="28"/>
                <w:lang w:val="uk-UA"/>
              </w:rPr>
              <w:t xml:space="preserve"> 13 Закону України </w:t>
            </w:r>
          </w:p>
          <w:p w14:paraId="2D3C310A" w14:textId="1A7824BE" w:rsidR="00630F05" w:rsidRDefault="00630F05" w:rsidP="00630F05">
            <w:pPr>
              <w:jc w:val="center"/>
              <w:rPr>
                <w:sz w:val="28"/>
                <w:szCs w:val="28"/>
                <w:lang w:val="uk-UA"/>
              </w:rPr>
            </w:pPr>
            <w:r w:rsidRPr="0009236F">
              <w:rPr>
                <w:sz w:val="28"/>
                <w:szCs w:val="28"/>
                <w:lang w:val="uk-UA"/>
              </w:rPr>
              <w:t>«Про СЕО»</w:t>
            </w:r>
          </w:p>
        </w:tc>
      </w:tr>
      <w:tr w:rsidR="00630F05" w14:paraId="137C0DA3" w14:textId="77777777" w:rsidTr="00630F05">
        <w:tc>
          <w:tcPr>
            <w:tcW w:w="704" w:type="dxa"/>
          </w:tcPr>
          <w:p w14:paraId="12571483" w14:textId="0E263CC2" w:rsidR="00630F05" w:rsidRDefault="00630F05" w:rsidP="00630F05">
            <w:pPr>
              <w:jc w:val="center"/>
              <w:rPr>
                <w:sz w:val="28"/>
                <w:szCs w:val="28"/>
                <w:lang w:val="uk-UA"/>
              </w:rPr>
            </w:pPr>
            <w:r>
              <w:rPr>
                <w:sz w:val="28"/>
                <w:szCs w:val="28"/>
                <w:lang w:val="uk-UA"/>
              </w:rPr>
              <w:t>2</w:t>
            </w:r>
          </w:p>
        </w:tc>
        <w:tc>
          <w:tcPr>
            <w:tcW w:w="2268" w:type="dxa"/>
          </w:tcPr>
          <w:p w14:paraId="31BAB2D8" w14:textId="5E227359" w:rsidR="00630F05" w:rsidRDefault="00630F05" w:rsidP="004B38B1">
            <w:pPr>
              <w:jc w:val="both"/>
              <w:rPr>
                <w:sz w:val="28"/>
                <w:szCs w:val="28"/>
                <w:lang w:val="uk-UA"/>
              </w:rPr>
            </w:pPr>
            <w:r w:rsidRPr="0009236F">
              <w:rPr>
                <w:sz w:val="28"/>
                <w:szCs w:val="28"/>
                <w:lang w:val="uk-UA"/>
              </w:rPr>
              <w:t>Міністерство охорони здоров’я України</w:t>
            </w:r>
          </w:p>
        </w:tc>
        <w:tc>
          <w:tcPr>
            <w:tcW w:w="2427" w:type="dxa"/>
          </w:tcPr>
          <w:p w14:paraId="626BC65C" w14:textId="2F710413" w:rsidR="00630F05" w:rsidRDefault="00630F05" w:rsidP="00630F05">
            <w:pPr>
              <w:jc w:val="center"/>
              <w:rPr>
                <w:sz w:val="28"/>
                <w:szCs w:val="28"/>
                <w:lang w:val="uk-UA"/>
              </w:rPr>
            </w:pPr>
            <w:r w:rsidRPr="0009236F">
              <w:rPr>
                <w:sz w:val="28"/>
                <w:szCs w:val="28"/>
                <w:lang w:val="uk-UA"/>
              </w:rPr>
              <w:t>Зауваження не надходили</w:t>
            </w:r>
          </w:p>
        </w:tc>
        <w:tc>
          <w:tcPr>
            <w:tcW w:w="4524" w:type="dxa"/>
          </w:tcPr>
          <w:p w14:paraId="1D5CBA4D" w14:textId="77777777" w:rsidR="00630F05" w:rsidRDefault="00630F05" w:rsidP="00630F05">
            <w:pPr>
              <w:jc w:val="center"/>
              <w:rPr>
                <w:sz w:val="28"/>
                <w:szCs w:val="28"/>
                <w:lang w:val="uk-UA"/>
              </w:rPr>
            </w:pPr>
          </w:p>
          <w:p w14:paraId="5BA5929C" w14:textId="1410F35E" w:rsidR="00CE7660" w:rsidRDefault="00CE7660" w:rsidP="00630F05">
            <w:pPr>
              <w:jc w:val="center"/>
              <w:rPr>
                <w:sz w:val="28"/>
                <w:szCs w:val="28"/>
                <w:lang w:val="uk-UA"/>
              </w:rPr>
            </w:pPr>
            <w:r>
              <w:rPr>
                <w:sz w:val="28"/>
                <w:szCs w:val="28"/>
                <w:lang w:val="uk-UA"/>
              </w:rPr>
              <w:t>-</w:t>
            </w:r>
          </w:p>
        </w:tc>
        <w:tc>
          <w:tcPr>
            <w:tcW w:w="2126" w:type="dxa"/>
          </w:tcPr>
          <w:p w14:paraId="7F6E7BAA" w14:textId="77777777" w:rsidR="00630F05" w:rsidRDefault="00630F05" w:rsidP="00630F05">
            <w:pPr>
              <w:jc w:val="center"/>
              <w:rPr>
                <w:sz w:val="28"/>
                <w:szCs w:val="28"/>
                <w:lang w:val="uk-UA"/>
              </w:rPr>
            </w:pPr>
          </w:p>
          <w:p w14:paraId="79F646AE" w14:textId="4C8B2464" w:rsidR="00CE7660" w:rsidRDefault="00CE7660" w:rsidP="00630F05">
            <w:pPr>
              <w:jc w:val="center"/>
              <w:rPr>
                <w:sz w:val="28"/>
                <w:szCs w:val="28"/>
                <w:lang w:val="uk-UA"/>
              </w:rPr>
            </w:pPr>
            <w:r>
              <w:rPr>
                <w:sz w:val="28"/>
                <w:szCs w:val="28"/>
                <w:lang w:val="uk-UA"/>
              </w:rPr>
              <w:t>-</w:t>
            </w:r>
          </w:p>
        </w:tc>
        <w:tc>
          <w:tcPr>
            <w:tcW w:w="3526" w:type="dxa"/>
          </w:tcPr>
          <w:p w14:paraId="431DD86F" w14:textId="77777777" w:rsidR="00630F05" w:rsidRDefault="00630F05" w:rsidP="00630F05">
            <w:pPr>
              <w:jc w:val="center"/>
              <w:rPr>
                <w:sz w:val="28"/>
                <w:szCs w:val="28"/>
                <w:lang w:val="uk-UA"/>
              </w:rPr>
            </w:pPr>
          </w:p>
          <w:p w14:paraId="78028382" w14:textId="6B04EFD1" w:rsidR="00CE7660" w:rsidRDefault="00CE7660" w:rsidP="00630F05">
            <w:pPr>
              <w:jc w:val="center"/>
              <w:rPr>
                <w:sz w:val="28"/>
                <w:szCs w:val="28"/>
                <w:lang w:val="uk-UA"/>
              </w:rPr>
            </w:pPr>
            <w:r>
              <w:rPr>
                <w:sz w:val="28"/>
                <w:szCs w:val="28"/>
                <w:lang w:val="uk-UA"/>
              </w:rPr>
              <w:t>-</w:t>
            </w:r>
          </w:p>
        </w:tc>
      </w:tr>
      <w:tr w:rsidR="004B38B1" w:rsidRPr="00130A9E" w14:paraId="48F72781" w14:textId="77777777" w:rsidTr="00630F05">
        <w:tc>
          <w:tcPr>
            <w:tcW w:w="704" w:type="dxa"/>
            <w:vMerge w:val="restart"/>
          </w:tcPr>
          <w:p w14:paraId="1923DFFD" w14:textId="1DB61D3A" w:rsidR="004B38B1" w:rsidRDefault="004B38B1" w:rsidP="00630F05">
            <w:pPr>
              <w:jc w:val="center"/>
              <w:rPr>
                <w:sz w:val="28"/>
                <w:szCs w:val="28"/>
                <w:lang w:val="uk-UA"/>
              </w:rPr>
            </w:pPr>
            <w:r>
              <w:rPr>
                <w:sz w:val="28"/>
                <w:szCs w:val="28"/>
                <w:lang w:val="uk-UA"/>
              </w:rPr>
              <w:t>3</w:t>
            </w:r>
          </w:p>
        </w:tc>
        <w:tc>
          <w:tcPr>
            <w:tcW w:w="2268" w:type="dxa"/>
            <w:vMerge w:val="restart"/>
          </w:tcPr>
          <w:p w14:paraId="6CBEA3B5" w14:textId="77777777" w:rsidR="004B38B1" w:rsidRPr="0009236F" w:rsidRDefault="004B38B1" w:rsidP="00630F05">
            <w:pPr>
              <w:jc w:val="both"/>
              <w:rPr>
                <w:sz w:val="28"/>
                <w:szCs w:val="28"/>
                <w:lang w:val="uk-UA"/>
              </w:rPr>
            </w:pPr>
            <w:r w:rsidRPr="0009236F">
              <w:rPr>
                <w:sz w:val="28"/>
                <w:szCs w:val="28"/>
                <w:lang w:val="uk-UA"/>
              </w:rPr>
              <w:t>Міністерство захисту довкілля та природних ресурсів України</w:t>
            </w:r>
          </w:p>
          <w:p w14:paraId="1054A21D" w14:textId="77777777" w:rsidR="004B38B1" w:rsidRDefault="004B38B1" w:rsidP="00630F05">
            <w:pPr>
              <w:jc w:val="center"/>
              <w:rPr>
                <w:sz w:val="28"/>
                <w:szCs w:val="28"/>
                <w:lang w:val="uk-UA"/>
              </w:rPr>
            </w:pPr>
          </w:p>
        </w:tc>
        <w:tc>
          <w:tcPr>
            <w:tcW w:w="2427" w:type="dxa"/>
            <w:vMerge w:val="restart"/>
          </w:tcPr>
          <w:p w14:paraId="19DBE4AA" w14:textId="5488D197" w:rsidR="004B38B1" w:rsidRDefault="004B38B1" w:rsidP="00630F05">
            <w:pPr>
              <w:jc w:val="center"/>
              <w:rPr>
                <w:sz w:val="28"/>
                <w:szCs w:val="28"/>
                <w:lang w:val="uk-UA"/>
              </w:rPr>
            </w:pPr>
            <w:r>
              <w:rPr>
                <w:sz w:val="28"/>
                <w:szCs w:val="28"/>
                <w:lang w:val="uk-UA"/>
              </w:rPr>
              <w:t>Пояснювальна записка</w:t>
            </w:r>
          </w:p>
        </w:tc>
        <w:tc>
          <w:tcPr>
            <w:tcW w:w="4524" w:type="dxa"/>
          </w:tcPr>
          <w:p w14:paraId="5C9E9538" w14:textId="77777777" w:rsidR="004B38B1" w:rsidRDefault="004B38B1" w:rsidP="00130A9E">
            <w:pPr>
              <w:jc w:val="both"/>
              <w:rPr>
                <w:sz w:val="28"/>
                <w:szCs w:val="28"/>
                <w:lang w:val="uk-UA"/>
              </w:rPr>
            </w:pPr>
            <w:r>
              <w:rPr>
                <w:sz w:val="28"/>
                <w:szCs w:val="28"/>
                <w:lang w:val="uk-UA"/>
              </w:rPr>
              <w:t xml:space="preserve">Відсутнє обґрунтування необхідності збільшення площі території (за межами) населеного пункту на 144,79 га (з 249,21 га), характеристика територій, за рахунок яких передбачається збільшення (пп.5.3 ДБН Б.1.1-15:2012 «Склад та зміст генерального плану населеного </w:t>
            </w:r>
            <w:r>
              <w:rPr>
                <w:sz w:val="28"/>
                <w:szCs w:val="28"/>
                <w:lang w:val="uk-UA"/>
              </w:rPr>
              <w:lastRenderedPageBreak/>
              <w:t xml:space="preserve">пункту» (далі ДБН). Крім того, в розділі </w:t>
            </w:r>
            <w:r>
              <w:rPr>
                <w:sz w:val="28"/>
                <w:szCs w:val="28"/>
                <w:lang w:val="en-US"/>
              </w:rPr>
              <w:t>XXIV</w:t>
            </w:r>
            <w:r>
              <w:rPr>
                <w:sz w:val="28"/>
                <w:szCs w:val="28"/>
                <w:lang w:val="uk-UA"/>
              </w:rPr>
              <w:t xml:space="preserve"> «Основні техніко-економічні показники», сторінка 92 Проекту площа загальної території населеного пункту не узгоджується з сумою площ її складових територій.</w:t>
            </w:r>
          </w:p>
          <w:p w14:paraId="23E01517" w14:textId="02644B04" w:rsidR="004B38B1" w:rsidRDefault="004B38B1" w:rsidP="00130A9E">
            <w:pPr>
              <w:jc w:val="both"/>
              <w:rPr>
                <w:sz w:val="28"/>
                <w:szCs w:val="28"/>
                <w:lang w:val="uk-UA"/>
              </w:rPr>
            </w:pPr>
          </w:p>
        </w:tc>
        <w:tc>
          <w:tcPr>
            <w:tcW w:w="2126" w:type="dxa"/>
          </w:tcPr>
          <w:p w14:paraId="6695EA32" w14:textId="389464FD" w:rsidR="004B38B1" w:rsidRDefault="004B38B1" w:rsidP="00630F05">
            <w:pPr>
              <w:jc w:val="center"/>
              <w:rPr>
                <w:sz w:val="28"/>
                <w:szCs w:val="28"/>
                <w:lang w:val="uk-UA"/>
              </w:rPr>
            </w:pPr>
            <w:r>
              <w:rPr>
                <w:sz w:val="28"/>
                <w:szCs w:val="28"/>
                <w:lang w:val="uk-UA"/>
              </w:rPr>
              <w:lastRenderedPageBreak/>
              <w:t>Враховано</w:t>
            </w:r>
          </w:p>
        </w:tc>
        <w:tc>
          <w:tcPr>
            <w:tcW w:w="3526" w:type="dxa"/>
          </w:tcPr>
          <w:p w14:paraId="79DDB646" w14:textId="7A8923F0" w:rsidR="004B38B1" w:rsidRDefault="004B38B1" w:rsidP="00630F05">
            <w:pPr>
              <w:pStyle w:val="a4"/>
              <w:ind w:left="0"/>
              <w:rPr>
                <w:rFonts w:ascii="Times New Roman" w:hAnsi="Times New Roman"/>
                <w:sz w:val="28"/>
                <w:szCs w:val="28"/>
                <w:lang w:val="uk-UA"/>
              </w:rPr>
            </w:pPr>
            <w:r w:rsidRPr="000A0CF1">
              <w:rPr>
                <w:rFonts w:ascii="Times New Roman" w:hAnsi="Times New Roman"/>
                <w:sz w:val="28"/>
                <w:szCs w:val="28"/>
                <w:lang w:val="uk-UA"/>
              </w:rPr>
              <w:t>Щодо обґрунтування необхідності збільшення площі території</w:t>
            </w:r>
            <w:r>
              <w:rPr>
                <w:rFonts w:ascii="Times New Roman" w:hAnsi="Times New Roman"/>
                <w:sz w:val="28"/>
                <w:szCs w:val="28"/>
                <w:lang w:val="uk-UA"/>
              </w:rPr>
              <w:t xml:space="preserve"> </w:t>
            </w:r>
            <w:r w:rsidR="00130A9E">
              <w:rPr>
                <w:rFonts w:ascii="Times New Roman" w:hAnsi="Times New Roman"/>
                <w:sz w:val="28"/>
                <w:szCs w:val="28"/>
                <w:lang w:val="uk-UA"/>
              </w:rPr>
              <w:t xml:space="preserve">                                </w:t>
            </w:r>
            <w:r w:rsidRPr="000A0CF1">
              <w:rPr>
                <w:rFonts w:ascii="Times New Roman" w:hAnsi="Times New Roman"/>
                <w:sz w:val="28"/>
                <w:szCs w:val="28"/>
                <w:lang w:val="uk-UA"/>
              </w:rPr>
              <w:t>с.</w:t>
            </w:r>
            <w:r>
              <w:rPr>
                <w:rFonts w:ascii="Times New Roman" w:hAnsi="Times New Roman"/>
                <w:sz w:val="28"/>
                <w:szCs w:val="28"/>
                <w:lang w:val="uk-UA"/>
              </w:rPr>
              <w:t xml:space="preserve"> </w:t>
            </w:r>
            <w:r w:rsidRPr="000A0CF1">
              <w:rPr>
                <w:rFonts w:ascii="Times New Roman" w:hAnsi="Times New Roman"/>
                <w:sz w:val="28"/>
                <w:szCs w:val="28"/>
                <w:lang w:val="uk-UA"/>
              </w:rPr>
              <w:t>Зачепилівка – враховано, у пояснювальні</w:t>
            </w:r>
            <w:r>
              <w:rPr>
                <w:rFonts w:ascii="Times New Roman" w:hAnsi="Times New Roman"/>
                <w:sz w:val="28"/>
                <w:szCs w:val="28"/>
                <w:lang w:val="uk-UA"/>
              </w:rPr>
              <w:t>й</w:t>
            </w:r>
            <w:r w:rsidRPr="000A0CF1">
              <w:rPr>
                <w:rFonts w:ascii="Times New Roman" w:hAnsi="Times New Roman"/>
                <w:sz w:val="28"/>
                <w:szCs w:val="28"/>
                <w:lang w:val="uk-UA"/>
              </w:rPr>
              <w:t xml:space="preserve"> записці (розділ </w:t>
            </w:r>
            <w:r w:rsidRPr="000A0CF1">
              <w:rPr>
                <w:rFonts w:ascii="Times New Roman" w:hAnsi="Times New Roman"/>
                <w:sz w:val="28"/>
                <w:szCs w:val="28"/>
                <w:lang w:val="en-US"/>
              </w:rPr>
              <w:t>VII</w:t>
            </w:r>
            <w:r w:rsidRPr="000A0CF1">
              <w:rPr>
                <w:rFonts w:ascii="Times New Roman" w:hAnsi="Times New Roman"/>
                <w:sz w:val="28"/>
                <w:szCs w:val="28"/>
                <w:lang w:val="uk-UA"/>
              </w:rPr>
              <w:t>).</w:t>
            </w:r>
          </w:p>
          <w:p w14:paraId="20466E03" w14:textId="77777777" w:rsidR="004B38B1" w:rsidRDefault="004B38B1" w:rsidP="00630F05">
            <w:pPr>
              <w:jc w:val="center"/>
              <w:rPr>
                <w:sz w:val="28"/>
                <w:szCs w:val="28"/>
                <w:lang w:val="uk-UA"/>
              </w:rPr>
            </w:pPr>
          </w:p>
        </w:tc>
      </w:tr>
      <w:tr w:rsidR="004B38B1" w:rsidRPr="00130A9E" w14:paraId="0DB49858" w14:textId="77777777" w:rsidTr="003A0479">
        <w:tc>
          <w:tcPr>
            <w:tcW w:w="704" w:type="dxa"/>
            <w:vMerge/>
          </w:tcPr>
          <w:p w14:paraId="6020FC91" w14:textId="77777777" w:rsidR="004B38B1" w:rsidRDefault="004B38B1" w:rsidP="00630F05">
            <w:pPr>
              <w:jc w:val="center"/>
              <w:rPr>
                <w:sz w:val="28"/>
                <w:szCs w:val="28"/>
                <w:lang w:val="uk-UA"/>
              </w:rPr>
            </w:pPr>
          </w:p>
        </w:tc>
        <w:tc>
          <w:tcPr>
            <w:tcW w:w="2268" w:type="dxa"/>
            <w:vMerge/>
          </w:tcPr>
          <w:p w14:paraId="6C863BB6" w14:textId="77777777" w:rsidR="004B38B1" w:rsidRPr="0009236F" w:rsidRDefault="004B38B1" w:rsidP="00630F05">
            <w:pPr>
              <w:jc w:val="both"/>
              <w:rPr>
                <w:sz w:val="28"/>
                <w:szCs w:val="28"/>
                <w:lang w:val="uk-UA"/>
              </w:rPr>
            </w:pPr>
          </w:p>
        </w:tc>
        <w:tc>
          <w:tcPr>
            <w:tcW w:w="2427" w:type="dxa"/>
            <w:vMerge/>
          </w:tcPr>
          <w:p w14:paraId="74ADAAAD" w14:textId="77777777" w:rsidR="004B38B1" w:rsidRDefault="004B38B1" w:rsidP="00630F05">
            <w:pPr>
              <w:jc w:val="center"/>
              <w:rPr>
                <w:sz w:val="28"/>
                <w:szCs w:val="28"/>
                <w:lang w:val="uk-UA"/>
              </w:rPr>
            </w:pPr>
          </w:p>
        </w:tc>
        <w:tc>
          <w:tcPr>
            <w:tcW w:w="4524" w:type="dxa"/>
          </w:tcPr>
          <w:p w14:paraId="124C8230" w14:textId="5FC677B3" w:rsidR="004B38B1" w:rsidRDefault="004B38B1" w:rsidP="00130A9E">
            <w:pPr>
              <w:jc w:val="both"/>
              <w:rPr>
                <w:sz w:val="28"/>
                <w:szCs w:val="28"/>
                <w:lang w:val="uk-UA"/>
              </w:rPr>
            </w:pPr>
            <w:r w:rsidRPr="00323251">
              <w:rPr>
                <w:sz w:val="28"/>
                <w:szCs w:val="28"/>
                <w:lang w:val="uk-UA"/>
              </w:rPr>
              <w:t>Проектом запропоновано включення в межі населеного пункту соснового лісу з подальшим створенням лісопарку в центральній частині села (сторінка 31 Генплану), що збільшить антропогенне навантаження на нього, підвищить</w:t>
            </w:r>
            <w:r>
              <w:rPr>
                <w:sz w:val="28"/>
                <w:szCs w:val="28"/>
                <w:lang w:val="uk-UA"/>
              </w:rPr>
              <w:t xml:space="preserve"> ризики його деградації. Лісистість Полтавської області становить близько 8,6% і є нижчою, ніж мінімальна – 15% (відповідно Показників регіональних нормативів оптимальної лісистості території України затверджених наказом Держкомлісгоспу від 29.12.2008 </w:t>
            </w:r>
            <w:r w:rsidR="00130A9E">
              <w:rPr>
                <w:sz w:val="28"/>
                <w:szCs w:val="28"/>
                <w:lang w:val="uk-UA"/>
              </w:rPr>
              <w:t xml:space="preserve"> </w:t>
            </w:r>
            <w:r>
              <w:rPr>
                <w:sz w:val="28"/>
                <w:szCs w:val="28"/>
                <w:lang w:val="uk-UA"/>
              </w:rPr>
              <w:t xml:space="preserve">№ 371, зареєстрованим в Мін’юсті 09.07.2009 за </w:t>
            </w:r>
            <w:r w:rsidR="00130A9E">
              <w:rPr>
                <w:sz w:val="28"/>
                <w:szCs w:val="28"/>
                <w:lang w:val="uk-UA"/>
              </w:rPr>
              <w:t xml:space="preserve">                         </w:t>
            </w:r>
            <w:r>
              <w:rPr>
                <w:sz w:val="28"/>
                <w:szCs w:val="28"/>
                <w:lang w:val="uk-UA"/>
              </w:rPr>
              <w:t xml:space="preserve">№ 610/16626), що обумовлює потребу в особливий увазі до збереження існуючого лісового фонду. Ураховуючи це, проблеми забезпечення належного рівня озеленення території населеного пункту слід вирішувати, перш за </w:t>
            </w:r>
            <w:r>
              <w:rPr>
                <w:sz w:val="28"/>
                <w:szCs w:val="28"/>
                <w:lang w:val="uk-UA"/>
              </w:rPr>
              <w:lastRenderedPageBreak/>
              <w:t xml:space="preserve">все, за рахунок створення нових та збереження існуючих зелених насаджень (з урахування вимог Державних стандартів правил планування та забудови населених пунктів, затверджених наказом МОЗ від 16.06.1996 № 173, зареєстрованих в Мін’юсті за          </w:t>
            </w:r>
            <w:r w:rsidR="00130A9E">
              <w:rPr>
                <w:sz w:val="28"/>
                <w:szCs w:val="28"/>
                <w:lang w:val="uk-UA"/>
              </w:rPr>
              <w:t xml:space="preserve"> </w:t>
            </w:r>
            <w:r>
              <w:rPr>
                <w:sz w:val="28"/>
                <w:szCs w:val="28"/>
                <w:lang w:val="uk-UA"/>
              </w:rPr>
              <w:t xml:space="preserve">№ 379/1404 24.07.1996 та інші), а не приєднання до населеного пункту ділянок лісів, які можуть виконувати відповідні оздоровчі, рекреаційні, санітарно-гігієнічні, естетичні та інші функції і без включення до меж населеного пункту, наприклад як ліси зелених зон навколо населених пунктів, площа яких визначається за нормативами згідно з додатком 1 до Порядку поділу лісів на категорії та виділення особливо захисних лісових ділянок, затвердженого </w:t>
            </w:r>
            <w:r w:rsidR="00130A9E">
              <w:rPr>
                <w:sz w:val="28"/>
                <w:szCs w:val="28"/>
                <w:lang w:val="uk-UA"/>
              </w:rPr>
              <w:t>п</w:t>
            </w:r>
            <w:r>
              <w:rPr>
                <w:sz w:val="28"/>
                <w:szCs w:val="28"/>
                <w:lang w:val="uk-UA"/>
              </w:rPr>
              <w:t>остановою Кабінету Міністрів України від 16.05.2007 №733</w:t>
            </w:r>
          </w:p>
          <w:p w14:paraId="412A9C31" w14:textId="77777777" w:rsidR="004B38B1" w:rsidRDefault="004B38B1" w:rsidP="00630F05">
            <w:pPr>
              <w:rPr>
                <w:sz w:val="28"/>
                <w:szCs w:val="28"/>
                <w:lang w:val="uk-UA"/>
              </w:rPr>
            </w:pPr>
          </w:p>
          <w:p w14:paraId="74956BEB" w14:textId="77777777" w:rsidR="004B38B1" w:rsidRDefault="004B38B1" w:rsidP="00630F05">
            <w:pPr>
              <w:rPr>
                <w:sz w:val="28"/>
                <w:szCs w:val="28"/>
                <w:lang w:val="uk-UA"/>
              </w:rPr>
            </w:pPr>
          </w:p>
          <w:p w14:paraId="4579AEE6" w14:textId="1AB6DEFE" w:rsidR="004B38B1" w:rsidRDefault="004B38B1" w:rsidP="00630F05">
            <w:pPr>
              <w:rPr>
                <w:sz w:val="28"/>
                <w:szCs w:val="28"/>
                <w:lang w:val="uk-UA"/>
              </w:rPr>
            </w:pPr>
          </w:p>
        </w:tc>
        <w:tc>
          <w:tcPr>
            <w:tcW w:w="2126" w:type="dxa"/>
          </w:tcPr>
          <w:p w14:paraId="683797BA" w14:textId="385D10C4" w:rsidR="004B38B1" w:rsidRDefault="004B38B1" w:rsidP="00630F05">
            <w:pPr>
              <w:jc w:val="center"/>
              <w:rPr>
                <w:sz w:val="28"/>
                <w:szCs w:val="28"/>
                <w:lang w:val="uk-UA"/>
              </w:rPr>
            </w:pPr>
            <w:r>
              <w:rPr>
                <w:sz w:val="28"/>
                <w:szCs w:val="28"/>
                <w:lang w:val="uk-UA"/>
              </w:rPr>
              <w:lastRenderedPageBreak/>
              <w:t>Враховано</w:t>
            </w:r>
          </w:p>
        </w:tc>
        <w:tc>
          <w:tcPr>
            <w:tcW w:w="3526" w:type="dxa"/>
          </w:tcPr>
          <w:p w14:paraId="1F74EAE5" w14:textId="21025319" w:rsidR="004B38B1" w:rsidRPr="000A0CF1" w:rsidRDefault="004B38B1" w:rsidP="00630F05">
            <w:pPr>
              <w:pStyle w:val="a4"/>
              <w:ind w:left="30"/>
              <w:rPr>
                <w:rFonts w:ascii="Times New Roman" w:hAnsi="Times New Roman"/>
                <w:sz w:val="28"/>
                <w:szCs w:val="28"/>
                <w:lang w:val="uk-UA"/>
              </w:rPr>
            </w:pPr>
            <w:r w:rsidRPr="000A0CF1">
              <w:rPr>
                <w:rFonts w:ascii="Times New Roman" w:hAnsi="Times New Roman"/>
                <w:sz w:val="28"/>
                <w:szCs w:val="28"/>
                <w:lang w:val="uk-UA"/>
              </w:rPr>
              <w:t>Щодо пропозиції включення в межі населеного пункту соснового лісу площею 21,5 га в районі вул. Піщана. Землі, на яких знаходяться насадження сосни не відносяться до земель ДЛГ, це землі запасу Новосанжарської селищної ради. Проектом передбачено організація лісопарку з відповідним благо</w:t>
            </w:r>
            <w:r>
              <w:rPr>
                <w:rFonts w:ascii="Times New Roman" w:hAnsi="Times New Roman"/>
                <w:sz w:val="28"/>
                <w:szCs w:val="28"/>
                <w:lang w:val="uk-UA"/>
              </w:rPr>
              <w:t>-</w:t>
            </w:r>
            <w:r w:rsidRPr="000A0CF1">
              <w:rPr>
                <w:rFonts w:ascii="Times New Roman" w:hAnsi="Times New Roman"/>
                <w:sz w:val="28"/>
                <w:szCs w:val="28"/>
                <w:lang w:val="uk-UA"/>
              </w:rPr>
              <w:t>устроєм, антропогенне навантаження для лісопарків - 7 люд/га згідно Табл</w:t>
            </w:r>
            <w:r>
              <w:rPr>
                <w:rFonts w:ascii="Times New Roman" w:hAnsi="Times New Roman"/>
                <w:sz w:val="28"/>
                <w:szCs w:val="28"/>
                <w:lang w:val="uk-UA"/>
              </w:rPr>
              <w:t>.</w:t>
            </w:r>
            <w:r w:rsidRPr="000A0CF1">
              <w:rPr>
                <w:rFonts w:ascii="Times New Roman" w:hAnsi="Times New Roman"/>
                <w:sz w:val="28"/>
                <w:szCs w:val="28"/>
                <w:lang w:val="uk-UA"/>
              </w:rPr>
              <w:t xml:space="preserve"> 8,5 ДБН Б.2.2.-12:2019, максимальна кількість одночасних відвідувань складе 150 </w:t>
            </w:r>
            <w:proofErr w:type="spellStart"/>
            <w:r w:rsidRPr="000A0CF1">
              <w:rPr>
                <w:rFonts w:ascii="Times New Roman" w:hAnsi="Times New Roman"/>
                <w:sz w:val="28"/>
                <w:szCs w:val="28"/>
                <w:lang w:val="uk-UA"/>
              </w:rPr>
              <w:t>чол</w:t>
            </w:r>
            <w:proofErr w:type="spellEnd"/>
            <w:r w:rsidRPr="000A0CF1">
              <w:rPr>
                <w:rFonts w:ascii="Times New Roman" w:hAnsi="Times New Roman"/>
                <w:sz w:val="28"/>
                <w:szCs w:val="28"/>
                <w:lang w:val="uk-UA"/>
              </w:rPr>
              <w:t xml:space="preserve">. </w:t>
            </w:r>
          </w:p>
          <w:p w14:paraId="6364126E" w14:textId="77777777" w:rsidR="004B38B1" w:rsidRPr="000A0CF1" w:rsidRDefault="004B38B1" w:rsidP="00630F05">
            <w:pPr>
              <w:pStyle w:val="a4"/>
              <w:ind w:left="0"/>
              <w:rPr>
                <w:rFonts w:ascii="Times New Roman" w:hAnsi="Times New Roman"/>
                <w:sz w:val="28"/>
                <w:szCs w:val="28"/>
                <w:lang w:val="uk-UA"/>
              </w:rPr>
            </w:pPr>
            <w:r w:rsidRPr="000A0CF1">
              <w:rPr>
                <w:rFonts w:ascii="Times New Roman" w:hAnsi="Times New Roman"/>
                <w:sz w:val="28"/>
                <w:szCs w:val="28"/>
                <w:lang w:val="uk-UA"/>
              </w:rPr>
              <w:t xml:space="preserve">Запроектовані заходи не приведуть до збільшення антропогенного </w:t>
            </w:r>
            <w:r w:rsidRPr="000A0CF1">
              <w:rPr>
                <w:rFonts w:ascii="Times New Roman" w:hAnsi="Times New Roman"/>
                <w:sz w:val="28"/>
                <w:szCs w:val="28"/>
                <w:lang w:val="uk-UA"/>
              </w:rPr>
              <w:lastRenderedPageBreak/>
              <w:t xml:space="preserve">навантаження, оскільки кількість рекреантів збільшиться несуттєво (існуюче населення – 1001 </w:t>
            </w:r>
            <w:proofErr w:type="spellStart"/>
            <w:r w:rsidRPr="000A0CF1">
              <w:rPr>
                <w:rFonts w:ascii="Times New Roman" w:hAnsi="Times New Roman"/>
                <w:sz w:val="28"/>
                <w:szCs w:val="28"/>
                <w:lang w:val="uk-UA"/>
              </w:rPr>
              <w:t>чол</w:t>
            </w:r>
            <w:proofErr w:type="spellEnd"/>
            <w:r w:rsidRPr="000A0CF1">
              <w:rPr>
                <w:rFonts w:ascii="Times New Roman" w:hAnsi="Times New Roman"/>
                <w:sz w:val="28"/>
                <w:szCs w:val="28"/>
                <w:lang w:val="uk-UA"/>
              </w:rPr>
              <w:t xml:space="preserve">, проектне – 1358 </w:t>
            </w:r>
            <w:proofErr w:type="spellStart"/>
            <w:r w:rsidRPr="000A0CF1">
              <w:rPr>
                <w:rFonts w:ascii="Times New Roman" w:hAnsi="Times New Roman"/>
                <w:sz w:val="28"/>
                <w:szCs w:val="28"/>
                <w:lang w:val="uk-UA"/>
              </w:rPr>
              <w:t>чол</w:t>
            </w:r>
            <w:proofErr w:type="spellEnd"/>
            <w:r w:rsidRPr="000A0CF1">
              <w:rPr>
                <w:rFonts w:ascii="Times New Roman" w:hAnsi="Times New Roman"/>
                <w:sz w:val="28"/>
                <w:szCs w:val="28"/>
                <w:lang w:val="uk-UA"/>
              </w:rPr>
              <w:t>).</w:t>
            </w:r>
          </w:p>
          <w:p w14:paraId="1123EB7E" w14:textId="75A7BB96" w:rsidR="004B38B1" w:rsidRPr="000A0CF1" w:rsidRDefault="004B38B1" w:rsidP="00630F05">
            <w:pPr>
              <w:pStyle w:val="a4"/>
              <w:ind w:left="30"/>
              <w:rPr>
                <w:rFonts w:ascii="Times New Roman" w:hAnsi="Times New Roman"/>
                <w:sz w:val="28"/>
                <w:szCs w:val="28"/>
                <w:lang w:val="uk-UA"/>
              </w:rPr>
            </w:pPr>
            <w:r w:rsidRPr="000A0CF1">
              <w:rPr>
                <w:rFonts w:ascii="Times New Roman" w:hAnsi="Times New Roman"/>
                <w:sz w:val="28"/>
                <w:szCs w:val="28"/>
                <w:lang w:val="uk-UA"/>
              </w:rPr>
              <w:t xml:space="preserve">Проектом зонування дана територія визначена </w:t>
            </w:r>
            <w:r w:rsidR="00130A9E">
              <w:rPr>
                <w:rFonts w:ascii="Times New Roman" w:hAnsi="Times New Roman"/>
                <w:sz w:val="28"/>
                <w:szCs w:val="28"/>
                <w:lang w:val="uk-UA"/>
              </w:rPr>
              <w:t xml:space="preserve">               </w:t>
            </w:r>
            <w:r w:rsidRPr="000A0CF1">
              <w:rPr>
                <w:rFonts w:ascii="Times New Roman" w:hAnsi="Times New Roman"/>
                <w:sz w:val="28"/>
                <w:szCs w:val="28"/>
                <w:lang w:val="uk-UA"/>
              </w:rPr>
              <w:t>як Р-3-2 – Зона розміщення лісопарків, лугопарків , встановлений</w:t>
            </w:r>
            <w:r>
              <w:rPr>
                <w:rFonts w:ascii="Times New Roman" w:hAnsi="Times New Roman"/>
                <w:sz w:val="28"/>
                <w:szCs w:val="28"/>
                <w:lang w:val="uk-UA"/>
              </w:rPr>
              <w:t xml:space="preserve"> </w:t>
            </w:r>
            <w:r w:rsidRPr="000A0CF1">
              <w:rPr>
                <w:rFonts w:ascii="Times New Roman" w:hAnsi="Times New Roman"/>
                <w:sz w:val="28"/>
                <w:szCs w:val="28"/>
                <w:lang w:val="uk-UA"/>
              </w:rPr>
              <w:t>місто</w:t>
            </w:r>
            <w:r>
              <w:rPr>
                <w:rFonts w:ascii="Times New Roman" w:hAnsi="Times New Roman"/>
                <w:sz w:val="28"/>
                <w:szCs w:val="28"/>
                <w:lang w:val="uk-UA"/>
              </w:rPr>
              <w:t>-</w:t>
            </w:r>
            <w:r w:rsidRPr="000A0CF1">
              <w:rPr>
                <w:rFonts w:ascii="Times New Roman" w:hAnsi="Times New Roman"/>
                <w:sz w:val="28"/>
                <w:szCs w:val="28"/>
                <w:lang w:val="uk-UA"/>
              </w:rPr>
              <w:t>будівний регламент використання земельних ділянок в межах даної зони.</w:t>
            </w:r>
          </w:p>
          <w:p w14:paraId="763086C0" w14:textId="77777777" w:rsidR="004B38B1" w:rsidRPr="00323251" w:rsidRDefault="004B38B1" w:rsidP="00130A9E">
            <w:pPr>
              <w:jc w:val="both"/>
              <w:rPr>
                <w:sz w:val="28"/>
                <w:szCs w:val="28"/>
                <w:lang w:val="uk-UA"/>
              </w:rPr>
            </w:pPr>
            <w:r w:rsidRPr="00323251">
              <w:rPr>
                <w:sz w:val="28"/>
                <w:szCs w:val="28"/>
                <w:lang w:val="uk-UA"/>
              </w:rPr>
              <w:t xml:space="preserve">Разом з цим, включення в проектні межі даних лісо вкритих території дасть змогу </w:t>
            </w:r>
            <w:proofErr w:type="spellStart"/>
            <w:r w:rsidRPr="00323251">
              <w:rPr>
                <w:sz w:val="28"/>
                <w:szCs w:val="28"/>
                <w:lang w:val="uk-UA"/>
              </w:rPr>
              <w:t>Новосанжарській</w:t>
            </w:r>
            <w:proofErr w:type="spellEnd"/>
            <w:r w:rsidRPr="00323251">
              <w:rPr>
                <w:sz w:val="28"/>
                <w:szCs w:val="28"/>
                <w:lang w:val="uk-UA"/>
              </w:rPr>
              <w:t xml:space="preserve"> селищній раді проводити роботи з благоустрою території, контролювати кількість рекреантів та проводити інші заходи з охорони лісо вкритих територій.</w:t>
            </w:r>
          </w:p>
          <w:p w14:paraId="37C4A32C" w14:textId="77777777" w:rsidR="004B38B1" w:rsidRDefault="004B38B1" w:rsidP="00630F05">
            <w:pPr>
              <w:pStyle w:val="a4"/>
              <w:ind w:left="0"/>
              <w:rPr>
                <w:rFonts w:ascii="Times New Roman" w:hAnsi="Times New Roman"/>
                <w:sz w:val="28"/>
                <w:szCs w:val="28"/>
                <w:lang w:val="uk-UA"/>
              </w:rPr>
            </w:pPr>
          </w:p>
        </w:tc>
      </w:tr>
      <w:tr w:rsidR="004B38B1" w14:paraId="01E8B484" w14:textId="77777777" w:rsidTr="00905532">
        <w:trPr>
          <w:trHeight w:val="4186"/>
        </w:trPr>
        <w:tc>
          <w:tcPr>
            <w:tcW w:w="704" w:type="dxa"/>
            <w:vMerge/>
          </w:tcPr>
          <w:p w14:paraId="5B28F285" w14:textId="77777777" w:rsidR="004B38B1" w:rsidRDefault="004B38B1" w:rsidP="00630F05">
            <w:pPr>
              <w:jc w:val="center"/>
              <w:rPr>
                <w:sz w:val="28"/>
                <w:szCs w:val="28"/>
                <w:lang w:val="uk-UA"/>
              </w:rPr>
            </w:pPr>
          </w:p>
        </w:tc>
        <w:tc>
          <w:tcPr>
            <w:tcW w:w="2268" w:type="dxa"/>
            <w:vMerge/>
          </w:tcPr>
          <w:p w14:paraId="4CECCDCE" w14:textId="77777777" w:rsidR="004B38B1" w:rsidRPr="0009236F" w:rsidRDefault="004B38B1" w:rsidP="00630F05">
            <w:pPr>
              <w:jc w:val="both"/>
              <w:rPr>
                <w:sz w:val="28"/>
                <w:szCs w:val="28"/>
                <w:lang w:val="uk-UA"/>
              </w:rPr>
            </w:pPr>
          </w:p>
        </w:tc>
        <w:tc>
          <w:tcPr>
            <w:tcW w:w="2427" w:type="dxa"/>
            <w:vMerge/>
          </w:tcPr>
          <w:p w14:paraId="33A02A7C" w14:textId="77777777" w:rsidR="004B38B1" w:rsidRDefault="004B38B1" w:rsidP="00630F05">
            <w:pPr>
              <w:jc w:val="center"/>
              <w:rPr>
                <w:sz w:val="28"/>
                <w:szCs w:val="28"/>
                <w:lang w:val="uk-UA"/>
              </w:rPr>
            </w:pPr>
          </w:p>
        </w:tc>
        <w:tc>
          <w:tcPr>
            <w:tcW w:w="4524" w:type="dxa"/>
          </w:tcPr>
          <w:p w14:paraId="228A97F0" w14:textId="51826A6D" w:rsidR="004B38B1" w:rsidRDefault="004B38B1" w:rsidP="00130A9E">
            <w:pPr>
              <w:jc w:val="both"/>
              <w:rPr>
                <w:sz w:val="28"/>
                <w:szCs w:val="28"/>
                <w:lang w:val="uk-UA"/>
              </w:rPr>
            </w:pPr>
            <w:r>
              <w:rPr>
                <w:sz w:val="28"/>
                <w:szCs w:val="28"/>
                <w:lang w:val="uk-UA"/>
              </w:rPr>
              <w:t xml:space="preserve">За даними Проекту на території населеного пункту знаходиться </w:t>
            </w:r>
            <w:r w:rsidR="00130A9E">
              <w:rPr>
                <w:sz w:val="28"/>
                <w:szCs w:val="28"/>
                <w:lang w:val="uk-UA"/>
              </w:rPr>
              <w:t xml:space="preserve">            </w:t>
            </w:r>
            <w:r>
              <w:rPr>
                <w:sz w:val="28"/>
                <w:szCs w:val="28"/>
                <w:lang w:val="uk-UA"/>
              </w:rPr>
              <w:t>р. Ворскла та штучний ставок. На Схемі існуючих планувальних обмежень також відображено водні об’єкти, які позначені як «коп.» (копанки). Термінологія, визначення та назви показників мають бути приведені у відповідність до законодавства, зокрема водний об’єкт «копанка» не відповідає термінам, визначеним Водним кодексом України.</w:t>
            </w:r>
          </w:p>
        </w:tc>
        <w:tc>
          <w:tcPr>
            <w:tcW w:w="2126" w:type="dxa"/>
          </w:tcPr>
          <w:p w14:paraId="39F39134" w14:textId="53D95C83" w:rsidR="004B38B1" w:rsidRDefault="004B38B1" w:rsidP="00630F05">
            <w:pPr>
              <w:jc w:val="center"/>
              <w:rPr>
                <w:sz w:val="28"/>
                <w:szCs w:val="28"/>
                <w:lang w:val="uk-UA"/>
              </w:rPr>
            </w:pPr>
            <w:r>
              <w:rPr>
                <w:sz w:val="28"/>
                <w:szCs w:val="28"/>
                <w:lang w:val="uk-UA"/>
              </w:rPr>
              <w:t>Враховано</w:t>
            </w:r>
          </w:p>
        </w:tc>
        <w:tc>
          <w:tcPr>
            <w:tcW w:w="3526" w:type="dxa"/>
          </w:tcPr>
          <w:p w14:paraId="04F1BDA7" w14:textId="60F02190" w:rsidR="004B38B1" w:rsidRPr="004A7EE7" w:rsidRDefault="004B38B1" w:rsidP="00630F05">
            <w:pPr>
              <w:pStyle w:val="a4"/>
              <w:ind w:left="0"/>
              <w:rPr>
                <w:rFonts w:ascii="Times New Roman" w:hAnsi="Times New Roman"/>
                <w:sz w:val="28"/>
                <w:szCs w:val="28"/>
                <w:lang w:val="uk-UA"/>
              </w:rPr>
            </w:pPr>
            <w:r w:rsidRPr="000A0CF1">
              <w:rPr>
                <w:rFonts w:ascii="Times New Roman" w:hAnsi="Times New Roman"/>
                <w:sz w:val="28"/>
                <w:szCs w:val="28"/>
                <w:lang w:val="uk-UA"/>
              </w:rPr>
              <w:t xml:space="preserve">Щодо визначення поняття «копанка». </w:t>
            </w:r>
            <w:r>
              <w:rPr>
                <w:rFonts w:ascii="Times New Roman" w:hAnsi="Times New Roman"/>
                <w:sz w:val="28"/>
                <w:szCs w:val="28"/>
                <w:lang w:val="uk-UA"/>
              </w:rPr>
              <w:t xml:space="preserve"> </w:t>
            </w:r>
            <w:r w:rsidRPr="000A0CF1">
              <w:rPr>
                <w:rFonts w:ascii="Times New Roman" w:hAnsi="Times New Roman"/>
                <w:sz w:val="28"/>
                <w:szCs w:val="28"/>
                <w:lang w:val="uk-UA"/>
              </w:rPr>
              <w:t>Копанка</w:t>
            </w:r>
            <w:r>
              <w:rPr>
                <w:rFonts w:ascii="Times New Roman" w:hAnsi="Times New Roman"/>
                <w:sz w:val="28"/>
                <w:szCs w:val="28"/>
                <w:lang w:val="uk-UA"/>
              </w:rPr>
              <w:t xml:space="preserve"> - </w:t>
            </w:r>
            <w:r w:rsidRPr="000A0CF1">
              <w:rPr>
                <w:rFonts w:ascii="Times New Roman" w:hAnsi="Times New Roman"/>
                <w:sz w:val="28"/>
                <w:szCs w:val="28"/>
                <w:lang w:val="uk-UA"/>
              </w:rPr>
              <w:t>невелике водоймище з ґрунтовою водою, викопане для господарських потреб</w:t>
            </w:r>
          </w:p>
          <w:p w14:paraId="4905683D" w14:textId="77777777" w:rsidR="004B38B1" w:rsidRDefault="004B38B1" w:rsidP="00630F05">
            <w:pPr>
              <w:pStyle w:val="a4"/>
              <w:ind w:left="0"/>
              <w:rPr>
                <w:rFonts w:ascii="Times New Roman" w:hAnsi="Times New Roman"/>
                <w:sz w:val="28"/>
                <w:szCs w:val="28"/>
                <w:lang w:val="uk-UA"/>
              </w:rPr>
            </w:pPr>
          </w:p>
          <w:p w14:paraId="50164883" w14:textId="1A05A3DB" w:rsidR="004B38B1" w:rsidRDefault="00CE7660" w:rsidP="00630F05">
            <w:pPr>
              <w:pStyle w:val="a4"/>
              <w:shd w:val="clear" w:color="auto" w:fill="FFFFFF"/>
              <w:ind w:left="30"/>
              <w:rPr>
                <w:rFonts w:ascii="Times New Roman" w:hAnsi="Times New Roman"/>
                <w:sz w:val="28"/>
                <w:szCs w:val="28"/>
                <w:lang w:val="uk-UA"/>
              </w:rPr>
            </w:pPr>
            <w:hyperlink r:id="rId5" w:history="1">
              <w:r w:rsidR="004B38B1" w:rsidRPr="004A7EE7">
                <w:rPr>
                  <w:rStyle w:val="a5"/>
                  <w:rFonts w:ascii="Times New Roman" w:hAnsi="Times New Roman"/>
                  <w:i/>
                  <w:iCs/>
                  <w:color w:val="auto"/>
                  <w:sz w:val="28"/>
                  <w:szCs w:val="28"/>
                  <w:bdr w:val="none" w:sz="0" w:space="0" w:color="auto" w:frame="1"/>
                </w:rPr>
                <w:t xml:space="preserve">Словник </w:t>
              </w:r>
              <w:proofErr w:type="spellStart"/>
              <w:r w:rsidR="004B38B1" w:rsidRPr="004A7EE7">
                <w:rPr>
                  <w:rStyle w:val="a5"/>
                  <w:rFonts w:ascii="Times New Roman" w:hAnsi="Times New Roman"/>
                  <w:i/>
                  <w:iCs/>
                  <w:color w:val="auto"/>
                  <w:sz w:val="28"/>
                  <w:szCs w:val="28"/>
                  <w:bdr w:val="none" w:sz="0" w:space="0" w:color="auto" w:frame="1"/>
                </w:rPr>
                <w:t>української</w:t>
              </w:r>
              <w:proofErr w:type="spellEnd"/>
              <w:r w:rsidR="004B38B1" w:rsidRPr="004A7EE7">
                <w:rPr>
                  <w:rStyle w:val="a5"/>
                  <w:rFonts w:ascii="Times New Roman" w:hAnsi="Times New Roman"/>
                  <w:i/>
                  <w:iCs/>
                  <w:color w:val="auto"/>
                  <w:sz w:val="28"/>
                  <w:szCs w:val="28"/>
                  <w:bdr w:val="none" w:sz="0" w:space="0" w:color="auto" w:frame="1"/>
                </w:rPr>
                <w:t xml:space="preserve"> </w:t>
              </w:r>
              <w:proofErr w:type="spellStart"/>
              <w:r w:rsidR="004B38B1" w:rsidRPr="004A7EE7">
                <w:rPr>
                  <w:rStyle w:val="a5"/>
                  <w:rFonts w:ascii="Times New Roman" w:hAnsi="Times New Roman"/>
                  <w:i/>
                  <w:iCs/>
                  <w:color w:val="auto"/>
                  <w:sz w:val="28"/>
                  <w:szCs w:val="28"/>
                  <w:bdr w:val="none" w:sz="0" w:space="0" w:color="auto" w:frame="1"/>
                </w:rPr>
                <w:t>мови</w:t>
              </w:r>
              <w:proofErr w:type="spellEnd"/>
              <w:r w:rsidR="004B38B1" w:rsidRPr="004A7EE7">
                <w:rPr>
                  <w:rStyle w:val="a5"/>
                  <w:rFonts w:ascii="Times New Roman" w:hAnsi="Times New Roman"/>
                  <w:i/>
                  <w:iCs/>
                  <w:color w:val="auto"/>
                  <w:sz w:val="28"/>
                  <w:szCs w:val="28"/>
                  <w:bdr w:val="none" w:sz="0" w:space="0" w:color="auto" w:frame="1"/>
                </w:rPr>
                <w:t xml:space="preserve">: в 11 томах. </w:t>
              </w:r>
              <w:r w:rsidR="004B38B1">
                <w:rPr>
                  <w:rStyle w:val="a5"/>
                  <w:rFonts w:ascii="Times New Roman" w:hAnsi="Times New Roman"/>
                  <w:i/>
                  <w:iCs/>
                  <w:color w:val="auto"/>
                  <w:sz w:val="28"/>
                  <w:szCs w:val="28"/>
                  <w:bdr w:val="none" w:sz="0" w:space="0" w:color="auto" w:frame="1"/>
                </w:rPr>
                <w:t>-</w:t>
              </w:r>
              <w:r w:rsidR="004B38B1" w:rsidRPr="004A7EE7">
                <w:rPr>
                  <w:rStyle w:val="a5"/>
                  <w:rFonts w:ascii="Times New Roman" w:hAnsi="Times New Roman"/>
                  <w:i/>
                  <w:iCs/>
                  <w:color w:val="auto"/>
                  <w:sz w:val="28"/>
                  <w:szCs w:val="28"/>
                  <w:bdr w:val="none" w:sz="0" w:space="0" w:color="auto" w:frame="1"/>
                </w:rPr>
                <w:t xml:space="preserve"> Том 4, 1973. — </w:t>
              </w:r>
              <w:proofErr w:type="spellStart"/>
              <w:r w:rsidR="004B38B1" w:rsidRPr="004A7EE7">
                <w:rPr>
                  <w:rStyle w:val="a5"/>
                  <w:rFonts w:ascii="Times New Roman" w:hAnsi="Times New Roman"/>
                  <w:i/>
                  <w:iCs/>
                  <w:color w:val="auto"/>
                  <w:sz w:val="28"/>
                  <w:szCs w:val="28"/>
                  <w:bdr w:val="none" w:sz="0" w:space="0" w:color="auto" w:frame="1"/>
                </w:rPr>
                <w:t>Стор</w:t>
              </w:r>
              <w:proofErr w:type="spellEnd"/>
              <w:r w:rsidR="004B38B1" w:rsidRPr="004A7EE7">
                <w:rPr>
                  <w:rStyle w:val="a5"/>
                  <w:rFonts w:ascii="Times New Roman" w:hAnsi="Times New Roman"/>
                  <w:i/>
                  <w:iCs/>
                  <w:color w:val="auto"/>
                  <w:sz w:val="28"/>
                  <w:szCs w:val="28"/>
                  <w:bdr w:val="none" w:sz="0" w:space="0" w:color="auto" w:frame="1"/>
                </w:rPr>
                <w:t>. 279.</w:t>
              </w:r>
            </w:hyperlink>
          </w:p>
        </w:tc>
      </w:tr>
      <w:tr w:rsidR="004B38B1" w14:paraId="0B047939" w14:textId="77777777" w:rsidTr="00630F05">
        <w:tc>
          <w:tcPr>
            <w:tcW w:w="704" w:type="dxa"/>
            <w:vMerge/>
          </w:tcPr>
          <w:p w14:paraId="689CB1F6" w14:textId="77777777" w:rsidR="004B38B1" w:rsidRDefault="004B38B1" w:rsidP="00630F05">
            <w:pPr>
              <w:jc w:val="center"/>
              <w:rPr>
                <w:sz w:val="28"/>
                <w:szCs w:val="28"/>
                <w:lang w:val="uk-UA"/>
              </w:rPr>
            </w:pPr>
          </w:p>
        </w:tc>
        <w:tc>
          <w:tcPr>
            <w:tcW w:w="2268" w:type="dxa"/>
            <w:vMerge/>
          </w:tcPr>
          <w:p w14:paraId="5E642686" w14:textId="77777777" w:rsidR="004B38B1" w:rsidRPr="0009236F" w:rsidRDefault="004B38B1" w:rsidP="00630F05">
            <w:pPr>
              <w:jc w:val="both"/>
              <w:rPr>
                <w:sz w:val="28"/>
                <w:szCs w:val="28"/>
                <w:lang w:val="uk-UA"/>
              </w:rPr>
            </w:pPr>
          </w:p>
        </w:tc>
        <w:tc>
          <w:tcPr>
            <w:tcW w:w="2427" w:type="dxa"/>
            <w:vMerge/>
          </w:tcPr>
          <w:p w14:paraId="4326BBB2" w14:textId="77777777" w:rsidR="004B38B1" w:rsidRDefault="004B38B1" w:rsidP="00630F05">
            <w:pPr>
              <w:jc w:val="center"/>
              <w:rPr>
                <w:sz w:val="28"/>
                <w:szCs w:val="28"/>
                <w:lang w:val="uk-UA"/>
              </w:rPr>
            </w:pPr>
          </w:p>
        </w:tc>
        <w:tc>
          <w:tcPr>
            <w:tcW w:w="4524" w:type="dxa"/>
          </w:tcPr>
          <w:p w14:paraId="09D08856" w14:textId="3A4618A8" w:rsidR="004B38B1" w:rsidRDefault="004B38B1" w:rsidP="00DF4E09">
            <w:pPr>
              <w:jc w:val="both"/>
              <w:rPr>
                <w:sz w:val="28"/>
                <w:szCs w:val="28"/>
                <w:lang w:val="uk-UA"/>
              </w:rPr>
            </w:pPr>
            <w:r>
              <w:rPr>
                <w:sz w:val="28"/>
                <w:szCs w:val="28"/>
                <w:lang w:val="uk-UA"/>
              </w:rPr>
              <w:t>У зв’язку із зазначеним, у матеріалах Проекту:</w:t>
            </w:r>
          </w:p>
          <w:p w14:paraId="200B0BE8" w14:textId="77777777" w:rsidR="004B38B1" w:rsidRDefault="004B38B1" w:rsidP="00DF4E09">
            <w:pPr>
              <w:jc w:val="both"/>
              <w:rPr>
                <w:sz w:val="28"/>
                <w:szCs w:val="28"/>
                <w:lang w:val="uk-UA"/>
              </w:rPr>
            </w:pPr>
            <w:r>
              <w:rPr>
                <w:sz w:val="28"/>
                <w:szCs w:val="28"/>
                <w:lang w:val="uk-UA"/>
              </w:rPr>
              <w:t>- мають бути передбачені окремі належні відомості щодо водоохоронної зони водного об’єкта (далі-ВЗ) (</w:t>
            </w:r>
            <w:proofErr w:type="spellStart"/>
            <w:r>
              <w:rPr>
                <w:sz w:val="28"/>
                <w:szCs w:val="28"/>
                <w:lang w:val="uk-UA"/>
              </w:rPr>
              <w:t>пп</w:t>
            </w:r>
            <w:proofErr w:type="spellEnd"/>
            <w:r>
              <w:rPr>
                <w:sz w:val="28"/>
                <w:szCs w:val="28"/>
                <w:lang w:val="uk-UA"/>
              </w:rPr>
              <w:t>. 5.5.6 ДБН Б.1.1-15:2012</w:t>
            </w:r>
          </w:p>
          <w:p w14:paraId="62D493C1" w14:textId="77777777" w:rsidR="004B38B1" w:rsidRDefault="004B38B1" w:rsidP="00DF4E09">
            <w:pPr>
              <w:jc w:val="both"/>
              <w:rPr>
                <w:sz w:val="28"/>
                <w:szCs w:val="28"/>
                <w:lang w:val="uk-UA"/>
              </w:rPr>
            </w:pPr>
            <w:r>
              <w:rPr>
                <w:sz w:val="28"/>
                <w:szCs w:val="28"/>
                <w:lang w:val="uk-UA"/>
              </w:rPr>
              <w:t>«Склад та зміст генерального плану населеного пункту»;</w:t>
            </w:r>
          </w:p>
          <w:p w14:paraId="1035301A" w14:textId="77777777" w:rsidR="004B38B1" w:rsidRDefault="004B38B1" w:rsidP="00DF4E09">
            <w:pPr>
              <w:jc w:val="both"/>
              <w:rPr>
                <w:sz w:val="28"/>
                <w:szCs w:val="28"/>
                <w:lang w:val="uk-UA"/>
              </w:rPr>
            </w:pPr>
            <w:r>
              <w:rPr>
                <w:sz w:val="28"/>
                <w:szCs w:val="28"/>
                <w:lang w:val="uk-UA"/>
              </w:rPr>
              <w:t xml:space="preserve">- мають бути враховані вимоги статті 60 Земельного кодексу України та статті 88 Водного кодексу України, зокрема щодо нормативної ширини прибережної захисної суги (далі-ПЗС), яка не повинна необґрунтовано зменшуватися, серед іншого, слід взяти до уваги, що у випадку схилів </w:t>
            </w:r>
            <w:r>
              <w:rPr>
                <w:sz w:val="28"/>
                <w:szCs w:val="28"/>
                <w:lang w:val="uk-UA"/>
              </w:rPr>
              <w:lastRenderedPageBreak/>
              <w:t>крутизною понад три градуси ширини ПЗС подвоюється;</w:t>
            </w:r>
          </w:p>
          <w:p w14:paraId="638318E1" w14:textId="77777777" w:rsidR="004B38B1" w:rsidRDefault="004B38B1" w:rsidP="00DF4E09">
            <w:pPr>
              <w:jc w:val="both"/>
              <w:rPr>
                <w:sz w:val="28"/>
                <w:szCs w:val="28"/>
                <w:lang w:val="uk-UA"/>
              </w:rPr>
            </w:pPr>
            <w:r>
              <w:rPr>
                <w:sz w:val="28"/>
                <w:szCs w:val="28"/>
                <w:lang w:val="uk-UA"/>
              </w:rPr>
              <w:t>- межі ПЗС мають бути позначені на земельних ділянках всіх категорій, крім земель морського транспорту, у всіх відповідних випадках за наявності відповідних водних об’єктів;</w:t>
            </w:r>
          </w:p>
          <w:p w14:paraId="375E5BDC" w14:textId="6C0D3877" w:rsidR="004B38B1" w:rsidRDefault="004B38B1" w:rsidP="00DF4E09">
            <w:pPr>
              <w:jc w:val="both"/>
              <w:rPr>
                <w:sz w:val="28"/>
                <w:szCs w:val="28"/>
                <w:lang w:val="uk-UA"/>
              </w:rPr>
            </w:pPr>
            <w:r>
              <w:rPr>
                <w:sz w:val="28"/>
                <w:szCs w:val="28"/>
                <w:lang w:val="uk-UA"/>
              </w:rPr>
              <w:t>- відомості про зміст планувальних обмежень щодо ВЗ та ПЗС повинні бути приведені у відповідність зі статтями 47,</w:t>
            </w:r>
            <w:r w:rsidR="00DF4E09">
              <w:rPr>
                <w:sz w:val="28"/>
                <w:szCs w:val="28"/>
                <w:lang w:val="uk-UA"/>
              </w:rPr>
              <w:t xml:space="preserve"> </w:t>
            </w:r>
            <w:r>
              <w:rPr>
                <w:sz w:val="28"/>
                <w:szCs w:val="28"/>
                <w:lang w:val="uk-UA"/>
              </w:rPr>
              <w:t>87,</w:t>
            </w:r>
            <w:r w:rsidR="00DF4E09">
              <w:rPr>
                <w:sz w:val="28"/>
                <w:szCs w:val="28"/>
                <w:lang w:val="uk-UA"/>
              </w:rPr>
              <w:t xml:space="preserve"> </w:t>
            </w:r>
            <w:r>
              <w:rPr>
                <w:sz w:val="28"/>
                <w:szCs w:val="28"/>
                <w:lang w:val="uk-UA"/>
              </w:rPr>
              <w:t>89 ВКУ та статтями 60,</w:t>
            </w:r>
            <w:r w:rsidR="00DF4E09">
              <w:rPr>
                <w:sz w:val="28"/>
                <w:szCs w:val="28"/>
                <w:lang w:val="uk-UA"/>
              </w:rPr>
              <w:t xml:space="preserve"> </w:t>
            </w:r>
            <w:r>
              <w:rPr>
                <w:sz w:val="28"/>
                <w:szCs w:val="28"/>
                <w:lang w:val="uk-UA"/>
              </w:rPr>
              <w:t>61 ЗКУ.</w:t>
            </w:r>
          </w:p>
          <w:p w14:paraId="39F6E4E2" w14:textId="7F765010" w:rsidR="004B38B1" w:rsidRDefault="004B38B1" w:rsidP="00DF4E09">
            <w:pPr>
              <w:jc w:val="both"/>
              <w:rPr>
                <w:sz w:val="28"/>
                <w:szCs w:val="28"/>
                <w:lang w:val="uk-UA"/>
              </w:rPr>
            </w:pPr>
            <w:r>
              <w:rPr>
                <w:sz w:val="28"/>
                <w:szCs w:val="28"/>
                <w:lang w:val="uk-UA"/>
              </w:rPr>
              <w:t xml:space="preserve">Відомості щодо ПЗС мають бути викладені </w:t>
            </w:r>
            <w:proofErr w:type="spellStart"/>
            <w:r>
              <w:rPr>
                <w:sz w:val="28"/>
                <w:szCs w:val="28"/>
                <w:lang w:val="uk-UA"/>
              </w:rPr>
              <w:t>коректно</w:t>
            </w:r>
            <w:proofErr w:type="spellEnd"/>
            <w:r>
              <w:rPr>
                <w:sz w:val="28"/>
                <w:szCs w:val="28"/>
                <w:lang w:val="uk-UA"/>
              </w:rPr>
              <w:t>,  з урахуванням вимог статей 60,</w:t>
            </w:r>
            <w:r w:rsidR="00DF4E09">
              <w:rPr>
                <w:sz w:val="28"/>
                <w:szCs w:val="28"/>
                <w:lang w:val="uk-UA"/>
              </w:rPr>
              <w:t xml:space="preserve"> </w:t>
            </w:r>
            <w:r>
              <w:rPr>
                <w:sz w:val="28"/>
                <w:szCs w:val="28"/>
                <w:lang w:val="uk-UA"/>
              </w:rPr>
              <w:t xml:space="preserve">61 Земельного кодексу України, статей 88, 89 та ін. Водного кодексу України (у тому числі не прибережна-захисна смуга (див. Схему існуючих планувальних обмежень), а «прибережна захисна смуга»). </w:t>
            </w:r>
          </w:p>
          <w:p w14:paraId="4FB78366" w14:textId="77777777" w:rsidR="004B38B1" w:rsidRDefault="004B38B1" w:rsidP="00DF4E09">
            <w:pPr>
              <w:jc w:val="both"/>
              <w:rPr>
                <w:sz w:val="28"/>
                <w:szCs w:val="28"/>
                <w:lang w:val="uk-UA"/>
              </w:rPr>
            </w:pPr>
            <w:r>
              <w:rPr>
                <w:sz w:val="28"/>
                <w:szCs w:val="28"/>
                <w:lang w:val="uk-UA"/>
              </w:rPr>
              <w:t xml:space="preserve">З метою охорони водності необхідно врахувати в </w:t>
            </w:r>
            <w:proofErr w:type="spellStart"/>
            <w:r>
              <w:rPr>
                <w:sz w:val="28"/>
                <w:szCs w:val="28"/>
                <w:lang w:val="uk-UA"/>
              </w:rPr>
              <w:t>Проєкті</w:t>
            </w:r>
            <w:proofErr w:type="spellEnd"/>
            <w:r>
              <w:rPr>
                <w:sz w:val="28"/>
                <w:szCs w:val="28"/>
                <w:lang w:val="uk-UA"/>
              </w:rPr>
              <w:t xml:space="preserve"> особливості користування малими річками, наприклад: заборону розорювати заплавні землі та застосовувати на них засоби хімізації, надавати земельні ділянки у заплавах річок під будь-яке будівництво (крім гідротехнічних, гідрометричних та лінійних </w:t>
            </w:r>
            <w:r>
              <w:rPr>
                <w:sz w:val="28"/>
                <w:szCs w:val="28"/>
                <w:lang w:val="uk-UA"/>
              </w:rPr>
              <w:lastRenderedPageBreak/>
              <w:t>споруд), а також для садівництва та городництва, зменшувати природний рослинний покрив і лісистість басейну річок, випрямляти русла річок та поглиблювати їх дно нижче природного рівня або перекриття їх без улаштування водостоків, перепусків чи акведуків,</w:t>
            </w:r>
          </w:p>
          <w:p w14:paraId="3FFB6D69" w14:textId="1FEA549B" w:rsidR="004B38B1" w:rsidRDefault="004B38B1" w:rsidP="00DF4E09">
            <w:pPr>
              <w:jc w:val="both"/>
              <w:rPr>
                <w:sz w:val="28"/>
                <w:szCs w:val="28"/>
                <w:lang w:val="uk-UA"/>
              </w:rPr>
            </w:pPr>
            <w:r>
              <w:rPr>
                <w:sz w:val="28"/>
                <w:szCs w:val="28"/>
                <w:lang w:val="uk-UA"/>
              </w:rPr>
              <w:t>здійснювати інші роботи, що можуть негативно впливати чи впливають на водність річок і якість води в ній (стаття 80 Водного кодексу України).</w:t>
            </w:r>
          </w:p>
        </w:tc>
        <w:tc>
          <w:tcPr>
            <w:tcW w:w="2126" w:type="dxa"/>
          </w:tcPr>
          <w:p w14:paraId="2BA13581" w14:textId="2BACCDD0" w:rsidR="004B38B1" w:rsidRDefault="004B38B1" w:rsidP="00630F05">
            <w:pPr>
              <w:jc w:val="center"/>
              <w:rPr>
                <w:sz w:val="28"/>
                <w:szCs w:val="28"/>
                <w:lang w:val="uk-UA"/>
              </w:rPr>
            </w:pPr>
            <w:r>
              <w:rPr>
                <w:sz w:val="28"/>
                <w:szCs w:val="28"/>
                <w:lang w:val="uk-UA"/>
              </w:rPr>
              <w:lastRenderedPageBreak/>
              <w:t>Враховано</w:t>
            </w:r>
          </w:p>
        </w:tc>
        <w:tc>
          <w:tcPr>
            <w:tcW w:w="3526" w:type="dxa"/>
          </w:tcPr>
          <w:p w14:paraId="0657739B" w14:textId="049ACE96" w:rsidR="004B38B1" w:rsidRPr="000A0CF1" w:rsidRDefault="004B38B1" w:rsidP="00630F05">
            <w:pPr>
              <w:pStyle w:val="a4"/>
              <w:ind w:left="0"/>
              <w:rPr>
                <w:rFonts w:ascii="Times New Roman" w:hAnsi="Times New Roman"/>
                <w:sz w:val="28"/>
                <w:szCs w:val="28"/>
                <w:lang w:val="uk-UA"/>
              </w:rPr>
            </w:pPr>
            <w:r w:rsidRPr="000A0CF1">
              <w:rPr>
                <w:rFonts w:ascii="Times New Roman" w:hAnsi="Times New Roman"/>
                <w:sz w:val="28"/>
                <w:szCs w:val="28"/>
                <w:lang w:val="uk-UA"/>
              </w:rPr>
              <w:t>Щодо визначення меж водоохоронних зон - Зовнішні межі водоохоронних зон визначаються за спеціально розробленими проектами, що не є предметом генерального плану.</w:t>
            </w:r>
          </w:p>
          <w:p w14:paraId="628E5FF7" w14:textId="77777777" w:rsidR="004B38B1" w:rsidRDefault="004B38B1" w:rsidP="00630F05">
            <w:pPr>
              <w:pStyle w:val="a4"/>
              <w:ind w:left="0"/>
              <w:rPr>
                <w:rFonts w:ascii="Times New Roman" w:hAnsi="Times New Roman"/>
                <w:sz w:val="28"/>
                <w:szCs w:val="28"/>
                <w:lang w:val="uk-UA"/>
              </w:rPr>
            </w:pPr>
          </w:p>
        </w:tc>
      </w:tr>
      <w:tr w:rsidR="004B38B1" w:rsidRPr="00130A9E" w14:paraId="4B6FCE47" w14:textId="77777777" w:rsidTr="00630F05">
        <w:tc>
          <w:tcPr>
            <w:tcW w:w="704" w:type="dxa"/>
            <w:vMerge/>
          </w:tcPr>
          <w:p w14:paraId="3D4142F4" w14:textId="77777777" w:rsidR="004B38B1" w:rsidRDefault="004B38B1" w:rsidP="00630F05">
            <w:pPr>
              <w:jc w:val="center"/>
              <w:rPr>
                <w:sz w:val="28"/>
                <w:szCs w:val="28"/>
                <w:lang w:val="uk-UA"/>
              </w:rPr>
            </w:pPr>
          </w:p>
        </w:tc>
        <w:tc>
          <w:tcPr>
            <w:tcW w:w="2268" w:type="dxa"/>
            <w:vMerge/>
          </w:tcPr>
          <w:p w14:paraId="0BB26DC6" w14:textId="77777777" w:rsidR="004B38B1" w:rsidRPr="0009236F" w:rsidRDefault="004B38B1" w:rsidP="00630F05">
            <w:pPr>
              <w:jc w:val="both"/>
              <w:rPr>
                <w:sz w:val="28"/>
                <w:szCs w:val="28"/>
                <w:lang w:val="uk-UA"/>
              </w:rPr>
            </w:pPr>
          </w:p>
        </w:tc>
        <w:tc>
          <w:tcPr>
            <w:tcW w:w="2427" w:type="dxa"/>
            <w:vMerge/>
          </w:tcPr>
          <w:p w14:paraId="572A0451" w14:textId="77777777" w:rsidR="004B38B1" w:rsidRDefault="004B38B1" w:rsidP="00630F05">
            <w:pPr>
              <w:jc w:val="center"/>
              <w:rPr>
                <w:sz w:val="28"/>
                <w:szCs w:val="28"/>
                <w:lang w:val="uk-UA"/>
              </w:rPr>
            </w:pPr>
          </w:p>
        </w:tc>
        <w:tc>
          <w:tcPr>
            <w:tcW w:w="4524" w:type="dxa"/>
          </w:tcPr>
          <w:p w14:paraId="01F48AE5" w14:textId="235A18AC" w:rsidR="004B38B1" w:rsidRDefault="004B38B1" w:rsidP="00DF4E09">
            <w:pPr>
              <w:jc w:val="both"/>
              <w:rPr>
                <w:sz w:val="28"/>
                <w:szCs w:val="28"/>
                <w:lang w:val="uk-UA"/>
              </w:rPr>
            </w:pPr>
            <w:r>
              <w:rPr>
                <w:sz w:val="28"/>
                <w:szCs w:val="28"/>
                <w:lang w:val="uk-UA"/>
              </w:rPr>
              <w:t xml:space="preserve">У проекті відсутня інформація щодо комплексу заходів щодо збереження водності річки і охорони її від забруднення. З метою раціонального використання і охорони вод та відтворення водних ресурсів рекомендуємо у Проекті зазначити, наприклад: впровадження </w:t>
            </w:r>
            <w:proofErr w:type="spellStart"/>
            <w:r>
              <w:rPr>
                <w:sz w:val="28"/>
                <w:szCs w:val="28"/>
                <w:lang w:val="uk-UA"/>
              </w:rPr>
              <w:t>водозберігаючих</w:t>
            </w:r>
            <w:proofErr w:type="spellEnd"/>
            <w:r>
              <w:rPr>
                <w:sz w:val="28"/>
                <w:szCs w:val="28"/>
                <w:lang w:val="uk-UA"/>
              </w:rPr>
              <w:t xml:space="preserve"> технологій, а також здійснення передбачених Водним кодексом України водоохоронних заходів на підприємствах,  в установах і організаціях, розташованих у басейні річки (стаття 81 Водного кодексу України). З метою збереження екологічного та хімічного стану річок </w:t>
            </w:r>
            <w:r>
              <w:rPr>
                <w:sz w:val="28"/>
                <w:szCs w:val="28"/>
                <w:lang w:val="uk-UA"/>
              </w:rPr>
              <w:lastRenderedPageBreak/>
              <w:t>забороняється споруджувати в їх басейні водосховища і ставки загальним обсягом, що перевищує обсяг стоку даної річки в розрахунковий маловодний рік, який спостерігається один раз у двадцять років (стаття 82 Водного кодексу України).</w:t>
            </w:r>
          </w:p>
        </w:tc>
        <w:tc>
          <w:tcPr>
            <w:tcW w:w="2126" w:type="dxa"/>
          </w:tcPr>
          <w:p w14:paraId="1D812326" w14:textId="6EDC5223" w:rsidR="004B38B1" w:rsidRDefault="004B38B1" w:rsidP="00630F05">
            <w:pPr>
              <w:jc w:val="center"/>
              <w:rPr>
                <w:sz w:val="28"/>
                <w:szCs w:val="28"/>
                <w:lang w:val="uk-UA"/>
              </w:rPr>
            </w:pPr>
            <w:r>
              <w:rPr>
                <w:sz w:val="28"/>
                <w:szCs w:val="28"/>
                <w:lang w:val="uk-UA"/>
              </w:rPr>
              <w:lastRenderedPageBreak/>
              <w:t>Враховано</w:t>
            </w:r>
          </w:p>
        </w:tc>
        <w:tc>
          <w:tcPr>
            <w:tcW w:w="3526" w:type="dxa"/>
          </w:tcPr>
          <w:p w14:paraId="266C474A" w14:textId="6D1F44BC" w:rsidR="004B38B1" w:rsidRPr="000A0CF1" w:rsidRDefault="004B38B1" w:rsidP="005D1E3B">
            <w:pPr>
              <w:pStyle w:val="a4"/>
              <w:ind w:left="0"/>
              <w:rPr>
                <w:rFonts w:ascii="Times New Roman" w:hAnsi="Times New Roman"/>
                <w:sz w:val="28"/>
                <w:szCs w:val="28"/>
                <w:lang w:val="uk-UA"/>
              </w:rPr>
            </w:pPr>
            <w:r w:rsidRPr="000A0CF1">
              <w:rPr>
                <w:rFonts w:ascii="Times New Roman" w:hAnsi="Times New Roman"/>
                <w:sz w:val="28"/>
                <w:szCs w:val="28"/>
                <w:lang w:val="uk-UA"/>
              </w:rPr>
              <w:t xml:space="preserve">Щодо комплексу заходів щодо збереження водності річки – у пояснювальній записці, розділ </w:t>
            </w:r>
            <w:r w:rsidRPr="000A0CF1">
              <w:rPr>
                <w:rFonts w:ascii="Times New Roman" w:hAnsi="Times New Roman"/>
                <w:sz w:val="28"/>
                <w:szCs w:val="28"/>
                <w:lang w:val="en-US"/>
              </w:rPr>
              <w:t>XIV</w:t>
            </w:r>
            <w:r w:rsidRPr="000A0CF1">
              <w:rPr>
                <w:rFonts w:ascii="Times New Roman" w:hAnsi="Times New Roman"/>
                <w:sz w:val="28"/>
                <w:szCs w:val="28"/>
                <w:lang w:val="uk-UA"/>
              </w:rPr>
              <w:t xml:space="preserve"> – визначені гідротехнічні заходи.</w:t>
            </w:r>
          </w:p>
          <w:p w14:paraId="7E2E25DF" w14:textId="77777777" w:rsidR="004B38B1" w:rsidRDefault="004B38B1" w:rsidP="00630F05">
            <w:pPr>
              <w:pStyle w:val="a4"/>
              <w:ind w:left="0"/>
              <w:rPr>
                <w:rFonts w:ascii="Times New Roman" w:hAnsi="Times New Roman"/>
                <w:sz w:val="28"/>
                <w:szCs w:val="28"/>
                <w:lang w:val="uk-UA"/>
              </w:rPr>
            </w:pPr>
          </w:p>
        </w:tc>
      </w:tr>
      <w:tr w:rsidR="004B38B1" w14:paraId="6FCDF335" w14:textId="77777777" w:rsidTr="00630F05">
        <w:tc>
          <w:tcPr>
            <w:tcW w:w="704" w:type="dxa"/>
            <w:vMerge/>
          </w:tcPr>
          <w:p w14:paraId="0C59F0FD" w14:textId="77777777" w:rsidR="004B38B1" w:rsidRDefault="004B38B1" w:rsidP="00630F05">
            <w:pPr>
              <w:jc w:val="center"/>
              <w:rPr>
                <w:sz w:val="28"/>
                <w:szCs w:val="28"/>
                <w:lang w:val="uk-UA"/>
              </w:rPr>
            </w:pPr>
          </w:p>
        </w:tc>
        <w:tc>
          <w:tcPr>
            <w:tcW w:w="2268" w:type="dxa"/>
            <w:vMerge/>
          </w:tcPr>
          <w:p w14:paraId="717ED912" w14:textId="77777777" w:rsidR="004B38B1" w:rsidRPr="0009236F" w:rsidRDefault="004B38B1" w:rsidP="00630F05">
            <w:pPr>
              <w:jc w:val="both"/>
              <w:rPr>
                <w:sz w:val="28"/>
                <w:szCs w:val="28"/>
                <w:lang w:val="uk-UA"/>
              </w:rPr>
            </w:pPr>
          </w:p>
        </w:tc>
        <w:tc>
          <w:tcPr>
            <w:tcW w:w="2427" w:type="dxa"/>
            <w:vMerge/>
          </w:tcPr>
          <w:p w14:paraId="2A5A8C77" w14:textId="77777777" w:rsidR="004B38B1" w:rsidRDefault="004B38B1" w:rsidP="00630F05">
            <w:pPr>
              <w:jc w:val="center"/>
              <w:rPr>
                <w:sz w:val="28"/>
                <w:szCs w:val="28"/>
                <w:lang w:val="uk-UA"/>
              </w:rPr>
            </w:pPr>
          </w:p>
        </w:tc>
        <w:tc>
          <w:tcPr>
            <w:tcW w:w="4524" w:type="dxa"/>
          </w:tcPr>
          <w:p w14:paraId="6ECB6DB2" w14:textId="11806127" w:rsidR="004B38B1" w:rsidRDefault="004B38B1" w:rsidP="00DF4E09">
            <w:pPr>
              <w:jc w:val="both"/>
              <w:rPr>
                <w:sz w:val="28"/>
                <w:szCs w:val="28"/>
                <w:lang w:val="uk-UA"/>
              </w:rPr>
            </w:pPr>
            <w:r>
              <w:rPr>
                <w:sz w:val="28"/>
                <w:szCs w:val="28"/>
                <w:lang w:val="uk-UA"/>
              </w:rPr>
              <w:t>У зв’язку з проектування на території села кінного заводу наголошуємо на чіткому визначені в Проекті та картографічних матеріалах санітарно-захисної зони відповідно до додатку №5 Державних стандартів правил планування та забудови населених пунктів, затверджених наказом Міністерства охорони здоров’я України від 19.06.1996 № 173</w:t>
            </w:r>
          </w:p>
        </w:tc>
        <w:tc>
          <w:tcPr>
            <w:tcW w:w="2126" w:type="dxa"/>
          </w:tcPr>
          <w:p w14:paraId="0D3C35E9" w14:textId="0BEA0CA1" w:rsidR="004B38B1" w:rsidRDefault="004B38B1" w:rsidP="00630F05">
            <w:pPr>
              <w:jc w:val="center"/>
              <w:rPr>
                <w:sz w:val="28"/>
                <w:szCs w:val="28"/>
                <w:lang w:val="uk-UA"/>
              </w:rPr>
            </w:pPr>
            <w:r>
              <w:rPr>
                <w:sz w:val="28"/>
                <w:szCs w:val="28"/>
                <w:lang w:val="uk-UA"/>
              </w:rPr>
              <w:t>Враховано</w:t>
            </w:r>
          </w:p>
        </w:tc>
        <w:tc>
          <w:tcPr>
            <w:tcW w:w="3526" w:type="dxa"/>
          </w:tcPr>
          <w:p w14:paraId="38DFBE85" w14:textId="0D587312" w:rsidR="004B38B1" w:rsidRPr="000A0CF1" w:rsidRDefault="004B38B1" w:rsidP="005D1E3B">
            <w:pPr>
              <w:pStyle w:val="a4"/>
              <w:ind w:left="0"/>
              <w:rPr>
                <w:rFonts w:ascii="Times New Roman" w:hAnsi="Times New Roman"/>
                <w:sz w:val="28"/>
                <w:szCs w:val="28"/>
                <w:lang w:val="uk-UA"/>
              </w:rPr>
            </w:pPr>
            <w:r w:rsidRPr="000A0CF1">
              <w:rPr>
                <w:rFonts w:ascii="Times New Roman" w:hAnsi="Times New Roman"/>
                <w:sz w:val="28"/>
                <w:szCs w:val="28"/>
                <w:lang w:val="uk-UA"/>
              </w:rPr>
              <w:t xml:space="preserve">Щодо зауваження про проектування кінного заводу – то помилка виправлена. На даній території запроектовано центр </w:t>
            </w:r>
            <w:proofErr w:type="spellStart"/>
            <w:r w:rsidRPr="000A0CF1">
              <w:rPr>
                <w:rFonts w:ascii="Times New Roman" w:hAnsi="Times New Roman"/>
                <w:sz w:val="28"/>
                <w:szCs w:val="28"/>
                <w:lang w:val="uk-UA"/>
              </w:rPr>
              <w:t>іпотерапії</w:t>
            </w:r>
            <w:proofErr w:type="spellEnd"/>
            <w:r w:rsidRPr="000A0CF1">
              <w:rPr>
                <w:rFonts w:ascii="Times New Roman" w:hAnsi="Times New Roman"/>
                <w:sz w:val="28"/>
                <w:szCs w:val="28"/>
                <w:lang w:val="uk-UA"/>
              </w:rPr>
              <w:t>, територія відноситься до громадської зони.</w:t>
            </w:r>
          </w:p>
          <w:p w14:paraId="59ECE304" w14:textId="77777777" w:rsidR="004B38B1" w:rsidRDefault="004B38B1" w:rsidP="00630F05">
            <w:pPr>
              <w:pStyle w:val="a4"/>
              <w:ind w:left="0"/>
              <w:rPr>
                <w:rFonts w:ascii="Times New Roman" w:hAnsi="Times New Roman"/>
                <w:sz w:val="28"/>
                <w:szCs w:val="28"/>
                <w:lang w:val="uk-UA"/>
              </w:rPr>
            </w:pPr>
          </w:p>
        </w:tc>
      </w:tr>
      <w:tr w:rsidR="004B38B1" w14:paraId="4012A489" w14:textId="77777777" w:rsidTr="00630F05">
        <w:tc>
          <w:tcPr>
            <w:tcW w:w="704" w:type="dxa"/>
            <w:vMerge/>
          </w:tcPr>
          <w:p w14:paraId="66512F50" w14:textId="77777777" w:rsidR="004B38B1" w:rsidRDefault="004B38B1" w:rsidP="00630F05">
            <w:pPr>
              <w:jc w:val="center"/>
              <w:rPr>
                <w:sz w:val="28"/>
                <w:szCs w:val="28"/>
                <w:lang w:val="uk-UA"/>
              </w:rPr>
            </w:pPr>
          </w:p>
        </w:tc>
        <w:tc>
          <w:tcPr>
            <w:tcW w:w="2268" w:type="dxa"/>
            <w:vMerge/>
          </w:tcPr>
          <w:p w14:paraId="5390F7B0" w14:textId="77777777" w:rsidR="004B38B1" w:rsidRPr="0009236F" w:rsidRDefault="004B38B1" w:rsidP="00630F05">
            <w:pPr>
              <w:jc w:val="both"/>
              <w:rPr>
                <w:sz w:val="28"/>
                <w:szCs w:val="28"/>
                <w:lang w:val="uk-UA"/>
              </w:rPr>
            </w:pPr>
          </w:p>
        </w:tc>
        <w:tc>
          <w:tcPr>
            <w:tcW w:w="2427" w:type="dxa"/>
            <w:vMerge/>
          </w:tcPr>
          <w:p w14:paraId="7B7AFCCA" w14:textId="77777777" w:rsidR="004B38B1" w:rsidRDefault="004B38B1" w:rsidP="00630F05">
            <w:pPr>
              <w:jc w:val="center"/>
              <w:rPr>
                <w:sz w:val="28"/>
                <w:szCs w:val="28"/>
                <w:lang w:val="uk-UA"/>
              </w:rPr>
            </w:pPr>
          </w:p>
        </w:tc>
        <w:tc>
          <w:tcPr>
            <w:tcW w:w="4524" w:type="dxa"/>
          </w:tcPr>
          <w:p w14:paraId="3840DA21" w14:textId="798DB0D6" w:rsidR="004B38B1" w:rsidRDefault="004B38B1" w:rsidP="00DF4E09">
            <w:pPr>
              <w:jc w:val="both"/>
              <w:rPr>
                <w:sz w:val="28"/>
                <w:szCs w:val="28"/>
                <w:lang w:val="uk-UA"/>
              </w:rPr>
            </w:pPr>
            <w:r>
              <w:rPr>
                <w:sz w:val="28"/>
                <w:szCs w:val="28"/>
                <w:lang w:val="uk-UA"/>
              </w:rPr>
              <w:t xml:space="preserve">По периметру земельної ділянки комплексу відкритих спортивних споруд в Проекті слід передбачати </w:t>
            </w:r>
            <w:proofErr w:type="spellStart"/>
            <w:r>
              <w:rPr>
                <w:sz w:val="28"/>
                <w:szCs w:val="28"/>
                <w:lang w:val="uk-UA"/>
              </w:rPr>
              <w:t>вітро</w:t>
            </w:r>
            <w:proofErr w:type="spellEnd"/>
            <w:r>
              <w:rPr>
                <w:sz w:val="28"/>
                <w:szCs w:val="28"/>
                <w:lang w:val="uk-UA"/>
              </w:rPr>
              <w:t xml:space="preserve">- і пило-захисні смуги деревних і чагарникових насаджень завширшки   5 м з боку проїздів місцевого значення і до 10 м – з боку швидкісних магістральних доріг з інтенсивним рухом транспорту. По периметру окремих груп відкритих площинних спортивних споруд, що входять до комплексу, і відкритих ванн басейнів слід передбачати </w:t>
            </w:r>
            <w:r>
              <w:rPr>
                <w:sz w:val="28"/>
                <w:szCs w:val="28"/>
                <w:lang w:val="uk-UA"/>
              </w:rPr>
              <w:lastRenderedPageBreak/>
              <w:t>смугу чагарникових насаджень завширшки не менше 3 м.</w:t>
            </w:r>
          </w:p>
        </w:tc>
        <w:tc>
          <w:tcPr>
            <w:tcW w:w="2126" w:type="dxa"/>
          </w:tcPr>
          <w:p w14:paraId="2AFCEA7F" w14:textId="459201B6" w:rsidR="004B38B1" w:rsidRDefault="004B38B1" w:rsidP="00630F05">
            <w:pPr>
              <w:jc w:val="center"/>
              <w:rPr>
                <w:sz w:val="28"/>
                <w:szCs w:val="28"/>
                <w:lang w:val="uk-UA"/>
              </w:rPr>
            </w:pPr>
            <w:r>
              <w:rPr>
                <w:sz w:val="28"/>
                <w:szCs w:val="28"/>
                <w:lang w:val="uk-UA"/>
              </w:rPr>
              <w:lastRenderedPageBreak/>
              <w:t>Враховано</w:t>
            </w:r>
          </w:p>
        </w:tc>
        <w:tc>
          <w:tcPr>
            <w:tcW w:w="3526" w:type="dxa"/>
          </w:tcPr>
          <w:p w14:paraId="3EFFAFF3" w14:textId="6A78D883" w:rsidR="004B38B1" w:rsidRPr="000A0CF1" w:rsidRDefault="004B38B1" w:rsidP="005D1E3B">
            <w:pPr>
              <w:pStyle w:val="a4"/>
              <w:ind w:left="0"/>
              <w:rPr>
                <w:rFonts w:ascii="Times New Roman" w:hAnsi="Times New Roman"/>
                <w:sz w:val="28"/>
                <w:szCs w:val="28"/>
                <w:lang w:val="uk-UA"/>
              </w:rPr>
            </w:pPr>
            <w:r w:rsidRPr="000A0CF1">
              <w:rPr>
                <w:rFonts w:ascii="Times New Roman" w:hAnsi="Times New Roman"/>
                <w:sz w:val="28"/>
                <w:szCs w:val="28"/>
                <w:lang w:val="uk-UA"/>
              </w:rPr>
              <w:t xml:space="preserve">Щодо </w:t>
            </w:r>
            <w:proofErr w:type="spellStart"/>
            <w:r w:rsidRPr="000A0CF1">
              <w:rPr>
                <w:rFonts w:ascii="Times New Roman" w:hAnsi="Times New Roman"/>
                <w:sz w:val="28"/>
                <w:szCs w:val="28"/>
                <w:lang w:val="uk-UA"/>
              </w:rPr>
              <w:t>вітро</w:t>
            </w:r>
            <w:proofErr w:type="spellEnd"/>
            <w:r>
              <w:rPr>
                <w:rFonts w:ascii="Times New Roman" w:hAnsi="Times New Roman"/>
                <w:sz w:val="28"/>
                <w:szCs w:val="28"/>
                <w:lang w:val="uk-UA"/>
              </w:rPr>
              <w:t>-</w:t>
            </w:r>
            <w:r w:rsidRPr="000A0CF1">
              <w:rPr>
                <w:rFonts w:ascii="Times New Roman" w:hAnsi="Times New Roman"/>
                <w:sz w:val="28"/>
                <w:szCs w:val="28"/>
                <w:lang w:val="uk-UA"/>
              </w:rPr>
              <w:t>та пило-захисних смуг по периметру ділянки відкритих спортивних споруд – вищез</w:t>
            </w:r>
            <w:r>
              <w:rPr>
                <w:rFonts w:ascii="Times New Roman" w:hAnsi="Times New Roman"/>
                <w:sz w:val="28"/>
                <w:szCs w:val="28"/>
                <w:lang w:val="uk-UA"/>
              </w:rPr>
              <w:t>г</w:t>
            </w:r>
            <w:r w:rsidRPr="000A0CF1">
              <w:rPr>
                <w:rFonts w:ascii="Times New Roman" w:hAnsi="Times New Roman"/>
                <w:sz w:val="28"/>
                <w:szCs w:val="28"/>
                <w:lang w:val="uk-UA"/>
              </w:rPr>
              <w:t>а</w:t>
            </w:r>
            <w:r>
              <w:rPr>
                <w:rFonts w:ascii="Times New Roman" w:hAnsi="Times New Roman"/>
                <w:sz w:val="28"/>
                <w:szCs w:val="28"/>
                <w:lang w:val="uk-UA"/>
              </w:rPr>
              <w:t>да</w:t>
            </w:r>
            <w:r w:rsidRPr="000A0CF1">
              <w:rPr>
                <w:rFonts w:ascii="Times New Roman" w:hAnsi="Times New Roman"/>
                <w:sz w:val="28"/>
                <w:szCs w:val="28"/>
                <w:lang w:val="uk-UA"/>
              </w:rPr>
              <w:t xml:space="preserve">ні смуги шириною 5 та 10 м на кресленнях генерального плану М1:2000 не показуються, на наступних стадіях проектування – розроблення детальних планів, планів забудови – ці </w:t>
            </w:r>
            <w:r w:rsidRPr="000A0CF1">
              <w:rPr>
                <w:rFonts w:ascii="Times New Roman" w:hAnsi="Times New Roman"/>
                <w:sz w:val="28"/>
                <w:szCs w:val="28"/>
                <w:lang w:val="uk-UA"/>
              </w:rPr>
              <w:lastRenderedPageBreak/>
              <w:t>положення мають бути уточнені.</w:t>
            </w:r>
          </w:p>
          <w:p w14:paraId="43BCE10E" w14:textId="77777777" w:rsidR="004B38B1" w:rsidRDefault="004B38B1" w:rsidP="00630F05">
            <w:pPr>
              <w:pStyle w:val="a4"/>
              <w:ind w:left="0"/>
              <w:rPr>
                <w:rFonts w:ascii="Times New Roman" w:hAnsi="Times New Roman"/>
                <w:sz w:val="28"/>
                <w:szCs w:val="28"/>
                <w:lang w:val="uk-UA"/>
              </w:rPr>
            </w:pPr>
          </w:p>
        </w:tc>
      </w:tr>
      <w:tr w:rsidR="004B38B1" w14:paraId="579C2FEF" w14:textId="77777777" w:rsidTr="001F7908">
        <w:tc>
          <w:tcPr>
            <w:tcW w:w="704" w:type="dxa"/>
            <w:vMerge/>
          </w:tcPr>
          <w:p w14:paraId="39F41289" w14:textId="77777777" w:rsidR="004B38B1" w:rsidRDefault="004B38B1" w:rsidP="00630F05">
            <w:pPr>
              <w:jc w:val="center"/>
              <w:rPr>
                <w:sz w:val="28"/>
                <w:szCs w:val="28"/>
                <w:lang w:val="uk-UA"/>
              </w:rPr>
            </w:pPr>
          </w:p>
        </w:tc>
        <w:tc>
          <w:tcPr>
            <w:tcW w:w="2268" w:type="dxa"/>
            <w:vMerge/>
          </w:tcPr>
          <w:p w14:paraId="6377EF34" w14:textId="77777777" w:rsidR="004B38B1" w:rsidRPr="0009236F" w:rsidRDefault="004B38B1" w:rsidP="00630F05">
            <w:pPr>
              <w:jc w:val="both"/>
              <w:rPr>
                <w:sz w:val="28"/>
                <w:szCs w:val="28"/>
                <w:lang w:val="uk-UA"/>
              </w:rPr>
            </w:pPr>
          </w:p>
        </w:tc>
        <w:tc>
          <w:tcPr>
            <w:tcW w:w="2427" w:type="dxa"/>
            <w:vMerge/>
          </w:tcPr>
          <w:p w14:paraId="0B208B24" w14:textId="77777777" w:rsidR="004B38B1" w:rsidRDefault="004B38B1" w:rsidP="00630F05">
            <w:pPr>
              <w:jc w:val="center"/>
              <w:rPr>
                <w:sz w:val="28"/>
                <w:szCs w:val="28"/>
                <w:lang w:val="uk-UA"/>
              </w:rPr>
            </w:pPr>
          </w:p>
        </w:tc>
        <w:tc>
          <w:tcPr>
            <w:tcW w:w="4524" w:type="dxa"/>
          </w:tcPr>
          <w:p w14:paraId="7A86911B" w14:textId="7A613A11" w:rsidR="004B38B1" w:rsidRDefault="004B38B1" w:rsidP="00DF4E09">
            <w:pPr>
              <w:jc w:val="both"/>
              <w:rPr>
                <w:sz w:val="28"/>
                <w:szCs w:val="28"/>
                <w:lang w:val="uk-UA"/>
              </w:rPr>
            </w:pPr>
            <w:r>
              <w:rPr>
                <w:sz w:val="28"/>
                <w:szCs w:val="28"/>
                <w:lang w:val="uk-UA"/>
              </w:rPr>
              <w:t>Село Зачепилівка межує із ботанічним заказником «Зачепилівський», рекомендуємо врахувати в Проекті, що на територіях заказників забороняється рубки головного користування, суцільні, прохідні, лісовідновні та поступові рубки, видалення захаращеності, а також полювання та інша діяльність, що суперечить цілям і завданням, передбаченим положенням про заказник.</w:t>
            </w:r>
          </w:p>
        </w:tc>
        <w:tc>
          <w:tcPr>
            <w:tcW w:w="2126" w:type="dxa"/>
          </w:tcPr>
          <w:p w14:paraId="1779BF62" w14:textId="271AE98E" w:rsidR="004B38B1" w:rsidRDefault="004B38B1" w:rsidP="00630F05">
            <w:pPr>
              <w:jc w:val="center"/>
              <w:rPr>
                <w:sz w:val="28"/>
                <w:szCs w:val="28"/>
                <w:lang w:val="uk-UA"/>
              </w:rPr>
            </w:pPr>
            <w:r>
              <w:rPr>
                <w:sz w:val="28"/>
                <w:szCs w:val="28"/>
                <w:lang w:val="uk-UA"/>
              </w:rPr>
              <w:t>Враховано</w:t>
            </w:r>
          </w:p>
        </w:tc>
        <w:tc>
          <w:tcPr>
            <w:tcW w:w="3526" w:type="dxa"/>
          </w:tcPr>
          <w:p w14:paraId="2C367563" w14:textId="37365E70" w:rsidR="004B38B1" w:rsidRPr="000A0CF1" w:rsidRDefault="004B38B1" w:rsidP="005D1E3B">
            <w:pPr>
              <w:pStyle w:val="a4"/>
              <w:ind w:left="0"/>
              <w:rPr>
                <w:rFonts w:ascii="Times New Roman" w:hAnsi="Times New Roman"/>
                <w:sz w:val="28"/>
                <w:szCs w:val="28"/>
                <w:lang w:val="uk-UA"/>
              </w:rPr>
            </w:pPr>
            <w:r w:rsidRPr="000A0CF1">
              <w:rPr>
                <w:rFonts w:ascii="Times New Roman" w:hAnsi="Times New Roman"/>
                <w:sz w:val="28"/>
                <w:szCs w:val="28"/>
                <w:lang w:val="uk-UA"/>
              </w:rPr>
              <w:t>Щодо рекомен</w:t>
            </w:r>
            <w:r>
              <w:rPr>
                <w:rFonts w:ascii="Times New Roman" w:hAnsi="Times New Roman"/>
                <w:sz w:val="28"/>
                <w:szCs w:val="28"/>
                <w:lang w:val="uk-UA"/>
              </w:rPr>
              <w:t>д</w:t>
            </w:r>
            <w:r w:rsidRPr="000A0CF1">
              <w:rPr>
                <w:rFonts w:ascii="Times New Roman" w:hAnsi="Times New Roman"/>
                <w:sz w:val="28"/>
                <w:szCs w:val="28"/>
                <w:lang w:val="uk-UA"/>
              </w:rPr>
              <w:t>а</w:t>
            </w:r>
            <w:r>
              <w:rPr>
                <w:rFonts w:ascii="Times New Roman" w:hAnsi="Times New Roman"/>
                <w:sz w:val="28"/>
                <w:szCs w:val="28"/>
                <w:lang w:val="uk-UA"/>
              </w:rPr>
              <w:t>ц</w:t>
            </w:r>
            <w:r w:rsidRPr="000A0CF1">
              <w:rPr>
                <w:rFonts w:ascii="Times New Roman" w:hAnsi="Times New Roman"/>
                <w:sz w:val="28"/>
                <w:szCs w:val="28"/>
                <w:lang w:val="uk-UA"/>
              </w:rPr>
              <w:t>ій господарської діяльності на території ботанічного заказника «Зачепилівський», то дані положення не є предметом розгляду генерального плану</w:t>
            </w:r>
            <w:r>
              <w:rPr>
                <w:rFonts w:ascii="Times New Roman" w:hAnsi="Times New Roman"/>
                <w:sz w:val="28"/>
                <w:szCs w:val="28"/>
                <w:lang w:val="uk-UA"/>
              </w:rPr>
              <w:t xml:space="preserve"> </w:t>
            </w:r>
            <w:r w:rsidRPr="000A0CF1">
              <w:rPr>
                <w:rFonts w:ascii="Times New Roman" w:hAnsi="Times New Roman"/>
                <w:sz w:val="28"/>
                <w:szCs w:val="28"/>
                <w:lang w:val="uk-UA"/>
              </w:rPr>
              <w:t>с. Зачепилівка</w:t>
            </w:r>
          </w:p>
          <w:p w14:paraId="34AFCEC5" w14:textId="77777777" w:rsidR="004B38B1" w:rsidRDefault="004B38B1" w:rsidP="00630F05">
            <w:pPr>
              <w:pStyle w:val="a4"/>
              <w:ind w:left="0"/>
              <w:rPr>
                <w:rFonts w:ascii="Times New Roman" w:hAnsi="Times New Roman"/>
                <w:sz w:val="28"/>
                <w:szCs w:val="28"/>
                <w:lang w:val="uk-UA"/>
              </w:rPr>
            </w:pPr>
          </w:p>
        </w:tc>
      </w:tr>
      <w:tr w:rsidR="00DF4902" w14:paraId="2EA8E1C7" w14:textId="77777777" w:rsidTr="0090394B">
        <w:tc>
          <w:tcPr>
            <w:tcW w:w="15575" w:type="dxa"/>
            <w:gridSpan w:val="6"/>
          </w:tcPr>
          <w:p w14:paraId="17157EA9" w14:textId="13FA6B71" w:rsidR="00DF4902" w:rsidRPr="00DF4902" w:rsidRDefault="00DF4902" w:rsidP="00DF4902">
            <w:pPr>
              <w:pStyle w:val="a4"/>
              <w:ind w:left="0"/>
              <w:jc w:val="center"/>
              <w:rPr>
                <w:rFonts w:ascii="Times New Roman" w:hAnsi="Times New Roman"/>
                <w:b/>
                <w:bCs/>
                <w:sz w:val="28"/>
                <w:szCs w:val="28"/>
                <w:lang w:val="uk-UA"/>
              </w:rPr>
            </w:pPr>
            <w:r w:rsidRPr="00DF4902">
              <w:rPr>
                <w:rFonts w:ascii="Times New Roman" w:hAnsi="Times New Roman"/>
                <w:b/>
                <w:bCs/>
                <w:sz w:val="28"/>
                <w:szCs w:val="28"/>
                <w:lang w:val="uk-UA"/>
              </w:rPr>
              <w:t>До звіту п</w:t>
            </w:r>
            <w:r>
              <w:rPr>
                <w:rFonts w:ascii="Times New Roman" w:hAnsi="Times New Roman"/>
                <w:b/>
                <w:bCs/>
                <w:sz w:val="28"/>
                <w:szCs w:val="28"/>
                <w:lang w:val="uk-UA"/>
              </w:rPr>
              <w:t>р</w:t>
            </w:r>
            <w:r w:rsidRPr="00DF4902">
              <w:rPr>
                <w:rFonts w:ascii="Times New Roman" w:hAnsi="Times New Roman"/>
                <w:b/>
                <w:bCs/>
                <w:sz w:val="28"/>
                <w:szCs w:val="28"/>
                <w:lang w:val="uk-UA"/>
              </w:rPr>
              <w:t>о СЕО</w:t>
            </w:r>
          </w:p>
        </w:tc>
      </w:tr>
      <w:tr w:rsidR="003A3A8E" w14:paraId="3E065AB3" w14:textId="77777777" w:rsidTr="00630F05">
        <w:tc>
          <w:tcPr>
            <w:tcW w:w="704" w:type="dxa"/>
            <w:vMerge w:val="restart"/>
          </w:tcPr>
          <w:p w14:paraId="25EFC2D9" w14:textId="71C98E21" w:rsidR="003A3A8E" w:rsidRDefault="003A3A8E" w:rsidP="00630F05">
            <w:pPr>
              <w:jc w:val="center"/>
              <w:rPr>
                <w:sz w:val="28"/>
                <w:szCs w:val="28"/>
                <w:lang w:val="uk-UA"/>
              </w:rPr>
            </w:pPr>
            <w:r>
              <w:rPr>
                <w:sz w:val="28"/>
                <w:szCs w:val="28"/>
                <w:lang w:val="uk-UA"/>
              </w:rPr>
              <w:t>1</w:t>
            </w:r>
          </w:p>
        </w:tc>
        <w:tc>
          <w:tcPr>
            <w:tcW w:w="2268" w:type="dxa"/>
            <w:vMerge w:val="restart"/>
          </w:tcPr>
          <w:p w14:paraId="72D3675E" w14:textId="77777777" w:rsidR="003A3A8E" w:rsidRPr="0009236F" w:rsidRDefault="003A3A8E" w:rsidP="00DF4902">
            <w:pPr>
              <w:jc w:val="both"/>
              <w:rPr>
                <w:sz w:val="28"/>
                <w:szCs w:val="28"/>
                <w:lang w:val="uk-UA"/>
              </w:rPr>
            </w:pPr>
            <w:r w:rsidRPr="0009236F">
              <w:rPr>
                <w:sz w:val="28"/>
                <w:szCs w:val="28"/>
                <w:lang w:val="uk-UA"/>
              </w:rPr>
              <w:t>Міністерство захисту довкілля та природних ресурсів України</w:t>
            </w:r>
          </w:p>
          <w:p w14:paraId="7A12BD65" w14:textId="77777777" w:rsidR="003A3A8E" w:rsidRPr="0009236F" w:rsidRDefault="003A3A8E" w:rsidP="00630F05">
            <w:pPr>
              <w:jc w:val="both"/>
              <w:rPr>
                <w:sz w:val="28"/>
                <w:szCs w:val="28"/>
                <w:lang w:val="uk-UA"/>
              </w:rPr>
            </w:pPr>
          </w:p>
        </w:tc>
        <w:tc>
          <w:tcPr>
            <w:tcW w:w="2427" w:type="dxa"/>
            <w:vMerge w:val="restart"/>
          </w:tcPr>
          <w:p w14:paraId="3BF8BF3B" w14:textId="15145DFD" w:rsidR="003A3A8E" w:rsidRDefault="004B38B1" w:rsidP="00630F05">
            <w:pPr>
              <w:jc w:val="center"/>
              <w:rPr>
                <w:sz w:val="28"/>
                <w:szCs w:val="28"/>
                <w:lang w:val="uk-UA"/>
              </w:rPr>
            </w:pPr>
            <w:r>
              <w:rPr>
                <w:sz w:val="28"/>
                <w:szCs w:val="28"/>
                <w:lang w:val="uk-UA"/>
              </w:rPr>
              <w:t>Звіт про стратегічну екологічну оцінку</w:t>
            </w:r>
          </w:p>
        </w:tc>
        <w:tc>
          <w:tcPr>
            <w:tcW w:w="4524" w:type="dxa"/>
          </w:tcPr>
          <w:p w14:paraId="2CA772BE" w14:textId="5EB3869E" w:rsidR="003A3A8E" w:rsidRDefault="003A3A8E" w:rsidP="00CE7660">
            <w:pPr>
              <w:jc w:val="both"/>
              <w:rPr>
                <w:sz w:val="28"/>
                <w:szCs w:val="28"/>
                <w:lang w:val="uk-UA"/>
              </w:rPr>
            </w:pPr>
            <w:r>
              <w:rPr>
                <w:sz w:val="28"/>
                <w:szCs w:val="28"/>
                <w:lang w:val="uk-UA"/>
              </w:rPr>
              <w:t xml:space="preserve">Розділ 8 Звіту «Обґрунтування вибору виправданих альтернатив, що розглядались, опис способу, в якій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 не містить опису виправданих альтернатив, у тому числі варіанту відмови від затвердження Проекту («нульовий сценарій»), проте Законом України «Про стратегічну </w:t>
            </w:r>
            <w:r>
              <w:rPr>
                <w:sz w:val="28"/>
                <w:szCs w:val="28"/>
                <w:lang w:val="uk-UA"/>
              </w:rPr>
              <w:lastRenderedPageBreak/>
              <w:t>екологічну оцінку» передбачено розгляд кількох альтернатив, у тому числі і тієї, за якої документ державного планування не буде затверджено</w:t>
            </w:r>
            <w:r w:rsidR="00CE7660">
              <w:rPr>
                <w:sz w:val="28"/>
                <w:szCs w:val="28"/>
                <w:lang w:val="uk-UA"/>
              </w:rPr>
              <w:t>.</w:t>
            </w:r>
          </w:p>
          <w:p w14:paraId="50CD17DE" w14:textId="09192926" w:rsidR="003A3A8E" w:rsidRDefault="003A3A8E" w:rsidP="00CE7660">
            <w:pPr>
              <w:jc w:val="both"/>
              <w:rPr>
                <w:sz w:val="28"/>
                <w:szCs w:val="28"/>
                <w:lang w:val="uk-UA"/>
              </w:rPr>
            </w:pPr>
            <w:r>
              <w:rPr>
                <w:sz w:val="28"/>
                <w:szCs w:val="28"/>
                <w:lang w:val="uk-UA"/>
              </w:rPr>
              <w:t>Відсутність опису виправданих альтернатив не дозволить виконати норму частини шостої статті 13 Закону відповідно до якої замовник у довідці про консультації обґрунтовує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w:t>
            </w:r>
          </w:p>
        </w:tc>
        <w:tc>
          <w:tcPr>
            <w:tcW w:w="2126" w:type="dxa"/>
          </w:tcPr>
          <w:p w14:paraId="67198CE4" w14:textId="516CAAEB" w:rsidR="003A3A8E" w:rsidRDefault="004B38B1" w:rsidP="00630F05">
            <w:pPr>
              <w:jc w:val="center"/>
              <w:rPr>
                <w:sz w:val="28"/>
                <w:szCs w:val="28"/>
                <w:lang w:val="uk-UA"/>
              </w:rPr>
            </w:pPr>
            <w:r>
              <w:rPr>
                <w:sz w:val="28"/>
                <w:szCs w:val="28"/>
                <w:lang w:val="uk-UA"/>
              </w:rPr>
              <w:lastRenderedPageBreak/>
              <w:t>В</w:t>
            </w:r>
            <w:r w:rsidR="00A359EC">
              <w:rPr>
                <w:sz w:val="28"/>
                <w:szCs w:val="28"/>
                <w:lang w:val="uk-UA"/>
              </w:rPr>
              <w:t>раховано</w:t>
            </w:r>
          </w:p>
        </w:tc>
        <w:tc>
          <w:tcPr>
            <w:tcW w:w="3526" w:type="dxa"/>
          </w:tcPr>
          <w:p w14:paraId="121BC848" w14:textId="2DC08E05" w:rsidR="003A3A8E" w:rsidRPr="003A3A8E" w:rsidRDefault="003A3A8E" w:rsidP="00CE7660">
            <w:pPr>
              <w:jc w:val="both"/>
              <w:rPr>
                <w:sz w:val="28"/>
                <w:szCs w:val="28"/>
                <w:lang w:val="uk-UA"/>
              </w:rPr>
            </w:pPr>
            <w:r w:rsidRPr="003A3A8E">
              <w:rPr>
                <w:sz w:val="28"/>
                <w:szCs w:val="28"/>
                <w:lang w:val="uk-UA"/>
              </w:rPr>
              <w:t>Щодо зауважень по розділу 8 – зазначено, що у ра</w:t>
            </w:r>
            <w:r>
              <w:rPr>
                <w:sz w:val="28"/>
                <w:szCs w:val="28"/>
                <w:lang w:val="uk-UA"/>
              </w:rPr>
              <w:t>з</w:t>
            </w:r>
            <w:r w:rsidRPr="003A3A8E">
              <w:rPr>
                <w:sz w:val="28"/>
                <w:szCs w:val="28"/>
                <w:lang w:val="uk-UA"/>
              </w:rPr>
              <w:t>і, коли ДДП не буде затверджено, це створить умови невиконання Схеми планування Полтавської області.</w:t>
            </w:r>
          </w:p>
          <w:p w14:paraId="5A3F0096" w14:textId="77777777" w:rsidR="003A3A8E" w:rsidRDefault="003A3A8E" w:rsidP="00630F05">
            <w:pPr>
              <w:pStyle w:val="a4"/>
              <w:ind w:left="0"/>
              <w:rPr>
                <w:rFonts w:ascii="Times New Roman" w:hAnsi="Times New Roman"/>
                <w:sz w:val="28"/>
                <w:szCs w:val="28"/>
                <w:lang w:val="uk-UA"/>
              </w:rPr>
            </w:pPr>
          </w:p>
        </w:tc>
      </w:tr>
      <w:tr w:rsidR="003A3A8E" w:rsidRPr="004B38B1" w14:paraId="557DFB76" w14:textId="77777777" w:rsidTr="004F0761">
        <w:tc>
          <w:tcPr>
            <w:tcW w:w="704" w:type="dxa"/>
            <w:vMerge/>
          </w:tcPr>
          <w:p w14:paraId="0130F7CB" w14:textId="77777777" w:rsidR="003A3A8E" w:rsidRDefault="003A3A8E" w:rsidP="00630F05">
            <w:pPr>
              <w:jc w:val="center"/>
              <w:rPr>
                <w:sz w:val="28"/>
                <w:szCs w:val="28"/>
                <w:lang w:val="uk-UA"/>
              </w:rPr>
            </w:pPr>
          </w:p>
        </w:tc>
        <w:tc>
          <w:tcPr>
            <w:tcW w:w="2268" w:type="dxa"/>
            <w:vMerge/>
          </w:tcPr>
          <w:p w14:paraId="4E9ED1AE" w14:textId="77777777" w:rsidR="003A3A8E" w:rsidRPr="0009236F" w:rsidRDefault="003A3A8E" w:rsidP="00DF4902">
            <w:pPr>
              <w:jc w:val="both"/>
              <w:rPr>
                <w:sz w:val="28"/>
                <w:szCs w:val="28"/>
                <w:lang w:val="uk-UA"/>
              </w:rPr>
            </w:pPr>
          </w:p>
        </w:tc>
        <w:tc>
          <w:tcPr>
            <w:tcW w:w="2427" w:type="dxa"/>
            <w:vMerge/>
          </w:tcPr>
          <w:p w14:paraId="3DDEDD20" w14:textId="77777777" w:rsidR="003A3A8E" w:rsidRDefault="003A3A8E" w:rsidP="00630F05">
            <w:pPr>
              <w:jc w:val="center"/>
              <w:rPr>
                <w:sz w:val="28"/>
                <w:szCs w:val="28"/>
                <w:lang w:val="uk-UA"/>
              </w:rPr>
            </w:pPr>
          </w:p>
        </w:tc>
        <w:tc>
          <w:tcPr>
            <w:tcW w:w="4524" w:type="dxa"/>
          </w:tcPr>
          <w:p w14:paraId="29D5DC8F" w14:textId="0A03F0F0" w:rsidR="003A3A8E" w:rsidRDefault="003A3A8E" w:rsidP="00CE7660">
            <w:pPr>
              <w:jc w:val="both"/>
              <w:rPr>
                <w:sz w:val="28"/>
                <w:szCs w:val="28"/>
                <w:lang w:val="uk-UA"/>
              </w:rPr>
            </w:pPr>
            <w:r>
              <w:rPr>
                <w:sz w:val="28"/>
                <w:szCs w:val="28"/>
                <w:lang w:val="uk-UA"/>
              </w:rPr>
              <w:t xml:space="preserve">Розділ 9 Звіту «Заходи, передбачені для здійснення моніторингу наслідків виконання документа державного планування для довкілля, у тому числі для здоров’я населення» необхідно доповнити ключовими показниками, які дозволять оцінити реалізацію заходів, що передбачається вжити для запобігання, зменшення та пом’якшення негативних наслідків виконання Проєкту. Також мають бути наведені не тільки показники, але і їх цільові значення, як фактичні, на час затвердження </w:t>
            </w:r>
            <w:r>
              <w:rPr>
                <w:sz w:val="28"/>
                <w:szCs w:val="28"/>
                <w:lang w:val="uk-UA"/>
              </w:rPr>
              <w:lastRenderedPageBreak/>
              <w:t xml:space="preserve">документа, так і за роками планового періоду. Зібрана інформація </w:t>
            </w:r>
            <w:proofErr w:type="spellStart"/>
            <w:r>
              <w:rPr>
                <w:sz w:val="28"/>
                <w:szCs w:val="28"/>
                <w:lang w:val="uk-UA"/>
              </w:rPr>
              <w:t>надасть</w:t>
            </w:r>
            <w:proofErr w:type="spellEnd"/>
            <w:r>
              <w:rPr>
                <w:sz w:val="28"/>
                <w:szCs w:val="28"/>
                <w:lang w:val="uk-UA"/>
              </w:rPr>
              <w:t xml:space="preserve"> можливість оцінити зміни у довкіллі, зосередивши увагу на таких параметрах, які реагуватимуть на зміни й створюватимуть зворотній зв’язок, а також на тих параметрах, моніторинг яких буде ефективним.</w:t>
            </w:r>
          </w:p>
        </w:tc>
        <w:tc>
          <w:tcPr>
            <w:tcW w:w="2126" w:type="dxa"/>
          </w:tcPr>
          <w:p w14:paraId="0C7B1BD1" w14:textId="567267E3" w:rsidR="003A3A8E" w:rsidRDefault="004B38B1" w:rsidP="00630F05">
            <w:pPr>
              <w:jc w:val="center"/>
              <w:rPr>
                <w:sz w:val="28"/>
                <w:szCs w:val="28"/>
                <w:lang w:val="uk-UA"/>
              </w:rPr>
            </w:pPr>
            <w:r>
              <w:rPr>
                <w:sz w:val="28"/>
                <w:szCs w:val="28"/>
                <w:lang w:val="uk-UA"/>
              </w:rPr>
              <w:lastRenderedPageBreak/>
              <w:t>Враховано</w:t>
            </w:r>
          </w:p>
        </w:tc>
        <w:tc>
          <w:tcPr>
            <w:tcW w:w="3526" w:type="dxa"/>
          </w:tcPr>
          <w:p w14:paraId="7E084D92" w14:textId="28405097" w:rsidR="004B38B1" w:rsidRPr="004B38B1" w:rsidRDefault="004B38B1" w:rsidP="00CE7660">
            <w:pPr>
              <w:jc w:val="both"/>
              <w:rPr>
                <w:sz w:val="28"/>
                <w:szCs w:val="28"/>
                <w:lang w:val="uk-UA"/>
              </w:rPr>
            </w:pPr>
            <w:r w:rsidRPr="004B38B1">
              <w:rPr>
                <w:sz w:val="28"/>
                <w:szCs w:val="28"/>
                <w:lang w:val="uk-UA"/>
              </w:rPr>
              <w:t>Щодо зауважень по розділу 9 – зауваження враховані, положення розділу були доповнені</w:t>
            </w:r>
            <w:r w:rsidR="00CE7660">
              <w:rPr>
                <w:sz w:val="28"/>
                <w:szCs w:val="28"/>
                <w:lang w:val="uk-UA"/>
              </w:rPr>
              <w:t>.</w:t>
            </w:r>
          </w:p>
          <w:p w14:paraId="69E6C770" w14:textId="77777777" w:rsidR="003A3A8E" w:rsidRPr="003A3A8E" w:rsidRDefault="003A3A8E" w:rsidP="003A3A8E">
            <w:pPr>
              <w:rPr>
                <w:sz w:val="28"/>
                <w:szCs w:val="28"/>
                <w:lang w:val="uk-UA"/>
              </w:rPr>
            </w:pPr>
          </w:p>
        </w:tc>
      </w:tr>
      <w:tr w:rsidR="00DF4E09" w:rsidRPr="004B38B1" w14:paraId="69941C23" w14:textId="77777777" w:rsidTr="004F0761">
        <w:tc>
          <w:tcPr>
            <w:tcW w:w="704" w:type="dxa"/>
          </w:tcPr>
          <w:p w14:paraId="23AE5AED" w14:textId="72085D94" w:rsidR="00DF4E09" w:rsidRDefault="00DF4E09" w:rsidP="00630F05">
            <w:pPr>
              <w:jc w:val="center"/>
              <w:rPr>
                <w:sz w:val="28"/>
                <w:szCs w:val="28"/>
                <w:lang w:val="uk-UA"/>
              </w:rPr>
            </w:pPr>
            <w:r>
              <w:rPr>
                <w:sz w:val="28"/>
                <w:szCs w:val="28"/>
                <w:lang w:val="uk-UA"/>
              </w:rPr>
              <w:t>2</w:t>
            </w:r>
          </w:p>
        </w:tc>
        <w:tc>
          <w:tcPr>
            <w:tcW w:w="2268" w:type="dxa"/>
          </w:tcPr>
          <w:p w14:paraId="72E2E8E5" w14:textId="5B4265DF" w:rsidR="00DF4E09" w:rsidRPr="0009236F" w:rsidRDefault="00DF4E09" w:rsidP="00DF4902">
            <w:pPr>
              <w:jc w:val="both"/>
              <w:rPr>
                <w:sz w:val="28"/>
                <w:szCs w:val="28"/>
                <w:lang w:val="uk-UA"/>
              </w:rPr>
            </w:pPr>
            <w:r w:rsidRPr="0009236F">
              <w:rPr>
                <w:sz w:val="28"/>
                <w:szCs w:val="28"/>
                <w:lang w:val="uk-UA"/>
              </w:rPr>
              <w:t>Міністерство охорони здоров’я України</w:t>
            </w:r>
          </w:p>
        </w:tc>
        <w:tc>
          <w:tcPr>
            <w:tcW w:w="2427" w:type="dxa"/>
          </w:tcPr>
          <w:p w14:paraId="060D9F3E" w14:textId="237FA543" w:rsidR="00DF4E09" w:rsidRDefault="00DF4E09" w:rsidP="00630F05">
            <w:pPr>
              <w:jc w:val="center"/>
              <w:rPr>
                <w:sz w:val="28"/>
                <w:szCs w:val="28"/>
                <w:lang w:val="uk-UA"/>
              </w:rPr>
            </w:pPr>
            <w:r w:rsidRPr="0009236F">
              <w:rPr>
                <w:sz w:val="28"/>
                <w:szCs w:val="28"/>
                <w:lang w:val="uk-UA"/>
              </w:rPr>
              <w:t>Зауваження не надходили</w:t>
            </w:r>
          </w:p>
        </w:tc>
        <w:tc>
          <w:tcPr>
            <w:tcW w:w="4524" w:type="dxa"/>
          </w:tcPr>
          <w:p w14:paraId="7B745CDB" w14:textId="77777777" w:rsidR="00DF4E09" w:rsidRDefault="00DF4E09" w:rsidP="00CE7660">
            <w:pPr>
              <w:jc w:val="center"/>
              <w:rPr>
                <w:sz w:val="28"/>
                <w:szCs w:val="28"/>
                <w:lang w:val="uk-UA"/>
              </w:rPr>
            </w:pPr>
          </w:p>
          <w:p w14:paraId="53A2BF5A" w14:textId="63C83B8B" w:rsidR="00CE7660" w:rsidRDefault="00CE7660" w:rsidP="00CE7660">
            <w:pPr>
              <w:jc w:val="center"/>
              <w:rPr>
                <w:sz w:val="28"/>
                <w:szCs w:val="28"/>
                <w:lang w:val="uk-UA"/>
              </w:rPr>
            </w:pPr>
            <w:r>
              <w:rPr>
                <w:sz w:val="28"/>
                <w:szCs w:val="28"/>
                <w:lang w:val="uk-UA"/>
              </w:rPr>
              <w:t>-</w:t>
            </w:r>
          </w:p>
        </w:tc>
        <w:tc>
          <w:tcPr>
            <w:tcW w:w="2126" w:type="dxa"/>
          </w:tcPr>
          <w:p w14:paraId="439E6242" w14:textId="77777777" w:rsidR="00DF4E09" w:rsidRDefault="00DF4E09" w:rsidP="00CE7660">
            <w:pPr>
              <w:jc w:val="center"/>
              <w:rPr>
                <w:sz w:val="28"/>
                <w:szCs w:val="28"/>
                <w:lang w:val="uk-UA"/>
              </w:rPr>
            </w:pPr>
          </w:p>
          <w:p w14:paraId="2593B185" w14:textId="13A13384" w:rsidR="00CE7660" w:rsidRDefault="00CE7660" w:rsidP="00CE7660">
            <w:pPr>
              <w:jc w:val="center"/>
              <w:rPr>
                <w:sz w:val="28"/>
                <w:szCs w:val="28"/>
                <w:lang w:val="uk-UA"/>
              </w:rPr>
            </w:pPr>
            <w:r>
              <w:rPr>
                <w:sz w:val="28"/>
                <w:szCs w:val="28"/>
                <w:lang w:val="uk-UA"/>
              </w:rPr>
              <w:t>-</w:t>
            </w:r>
          </w:p>
        </w:tc>
        <w:tc>
          <w:tcPr>
            <w:tcW w:w="3526" w:type="dxa"/>
          </w:tcPr>
          <w:p w14:paraId="74E72D78" w14:textId="77777777" w:rsidR="00DF4E09" w:rsidRDefault="00DF4E09" w:rsidP="00CE7660">
            <w:pPr>
              <w:jc w:val="center"/>
              <w:rPr>
                <w:sz w:val="28"/>
                <w:szCs w:val="28"/>
                <w:lang w:val="uk-UA"/>
              </w:rPr>
            </w:pPr>
          </w:p>
          <w:p w14:paraId="2E0DFC48" w14:textId="2A4217A3" w:rsidR="00CE7660" w:rsidRPr="004B38B1" w:rsidRDefault="00CE7660" w:rsidP="00CE7660">
            <w:pPr>
              <w:jc w:val="center"/>
              <w:rPr>
                <w:sz w:val="28"/>
                <w:szCs w:val="28"/>
                <w:lang w:val="uk-UA"/>
              </w:rPr>
            </w:pPr>
            <w:r>
              <w:rPr>
                <w:sz w:val="28"/>
                <w:szCs w:val="28"/>
                <w:lang w:val="uk-UA"/>
              </w:rPr>
              <w:t>-</w:t>
            </w:r>
          </w:p>
        </w:tc>
      </w:tr>
    </w:tbl>
    <w:p w14:paraId="2E4816AB" w14:textId="77777777" w:rsidR="00630F05" w:rsidRPr="00630F05" w:rsidRDefault="00630F05" w:rsidP="00630F05">
      <w:pPr>
        <w:jc w:val="center"/>
        <w:rPr>
          <w:sz w:val="28"/>
          <w:szCs w:val="28"/>
          <w:lang w:val="uk-UA"/>
        </w:rPr>
      </w:pPr>
    </w:p>
    <w:sectPr w:rsidR="00630F05" w:rsidRPr="00630F05" w:rsidSect="00630F0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72BE8"/>
    <w:multiLevelType w:val="hybridMultilevel"/>
    <w:tmpl w:val="0CCAE3C8"/>
    <w:lvl w:ilvl="0" w:tplc="D4D8E0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8F"/>
    <w:rsid w:val="00130A9E"/>
    <w:rsid w:val="00323251"/>
    <w:rsid w:val="003A3A8E"/>
    <w:rsid w:val="00441AAB"/>
    <w:rsid w:val="004B38B1"/>
    <w:rsid w:val="005C2424"/>
    <w:rsid w:val="005D1E3B"/>
    <w:rsid w:val="00630F05"/>
    <w:rsid w:val="00A359EC"/>
    <w:rsid w:val="00CE7660"/>
    <w:rsid w:val="00D310FD"/>
    <w:rsid w:val="00DF4902"/>
    <w:rsid w:val="00DF4E09"/>
    <w:rsid w:val="00E1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F7D5"/>
  <w15:chartTrackingRefBased/>
  <w15:docId w15:val="{08D8BBA3-4ECD-4595-B3EB-49CC0424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F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0F05"/>
    <w:pPr>
      <w:ind w:left="720"/>
      <w:contextualSpacing/>
      <w:jc w:val="both"/>
    </w:pPr>
    <w:rPr>
      <w:rFonts w:ascii="Calibri" w:eastAsia="Calibri" w:hAnsi="Calibri"/>
      <w:sz w:val="22"/>
      <w:szCs w:val="22"/>
      <w:lang w:eastAsia="en-US"/>
    </w:rPr>
  </w:style>
  <w:style w:type="character" w:styleId="a5">
    <w:name w:val="Hyperlink"/>
    <w:uiPriority w:val="99"/>
    <w:unhideWhenUsed/>
    <w:rsid w:val="00630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in.ua/p/4/27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10</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Яценко</dc:creator>
  <cp:keywords/>
  <dc:description/>
  <cp:lastModifiedBy>Виталий Яценко</cp:lastModifiedBy>
  <cp:revision>6</cp:revision>
  <dcterms:created xsi:type="dcterms:W3CDTF">2020-09-16T10:53:00Z</dcterms:created>
  <dcterms:modified xsi:type="dcterms:W3CDTF">2020-09-18T07:45:00Z</dcterms:modified>
</cp:coreProperties>
</file>