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BE" w:rsidRDefault="00CA3766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Pr="00B864BE" w:rsidRDefault="00B864BE" w:rsidP="00B86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 w:rsidRPr="00B864B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B864BE" w:rsidRPr="00B864BE" w:rsidRDefault="00B864BE" w:rsidP="00B86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64BE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864BE">
        <w:rPr>
          <w:rFonts w:ascii="Times New Roman" w:hAnsi="Times New Roman" w:cs="Times New Roman"/>
          <w:b/>
          <w:sz w:val="28"/>
          <w:szCs w:val="28"/>
        </w:rPr>
        <w:t>( дванадцята сесія селищної ради сьомого скликання)</w:t>
      </w:r>
    </w:p>
    <w:p w:rsidR="00B864BE" w:rsidRPr="00B864BE" w:rsidRDefault="00B864BE" w:rsidP="00B86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B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864BE" w:rsidRPr="00B864BE" w:rsidRDefault="00EE0D04" w:rsidP="00A4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864BE" w:rsidRPr="00B864BE">
        <w:rPr>
          <w:rFonts w:ascii="Times New Roman" w:hAnsi="Times New Roman" w:cs="Times New Roman"/>
          <w:sz w:val="28"/>
          <w:szCs w:val="28"/>
        </w:rPr>
        <w:t xml:space="preserve"> серпня  2018  року </w:t>
      </w:r>
      <w:r w:rsidR="00A4621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864BE" w:rsidRPr="00B864B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B864BE" w:rsidRPr="00B864BE">
        <w:rPr>
          <w:rFonts w:ascii="Times New Roman" w:hAnsi="Times New Roman" w:cs="Times New Roman"/>
          <w:sz w:val="28"/>
          <w:szCs w:val="28"/>
        </w:rPr>
        <w:t xml:space="preserve"> Нові Санжари   </w:t>
      </w:r>
      <w:r w:rsidR="00A462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64BE" w:rsidRPr="00B864BE">
        <w:rPr>
          <w:rFonts w:ascii="Times New Roman" w:hAnsi="Times New Roman" w:cs="Times New Roman"/>
          <w:sz w:val="28"/>
          <w:szCs w:val="28"/>
        </w:rPr>
        <w:t xml:space="preserve"> №</w:t>
      </w:r>
      <w:r w:rsidR="00A4621F">
        <w:rPr>
          <w:rFonts w:ascii="Times New Roman" w:hAnsi="Times New Roman" w:cs="Times New Roman"/>
          <w:sz w:val="28"/>
          <w:szCs w:val="28"/>
        </w:rPr>
        <w:br/>
      </w:r>
    </w:p>
    <w:p w:rsidR="00A4621F" w:rsidRPr="00B864BE" w:rsidRDefault="00A872F8" w:rsidP="00B86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</w:t>
      </w:r>
      <w:r w:rsidR="00B864BE" w:rsidRPr="00B864BE">
        <w:rPr>
          <w:rFonts w:ascii="Times New Roman" w:hAnsi="Times New Roman" w:cs="Times New Roman"/>
          <w:sz w:val="28"/>
          <w:szCs w:val="28"/>
        </w:rPr>
        <w:t xml:space="preserve"> до селищної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Програми оздоровлення та </w:t>
      </w:r>
      <w:r w:rsidR="00B864BE" w:rsidRPr="00B864BE">
        <w:rPr>
          <w:rFonts w:ascii="Times New Roman" w:hAnsi="Times New Roman" w:cs="Times New Roman"/>
          <w:sz w:val="28"/>
          <w:szCs w:val="28"/>
        </w:rPr>
        <w:t xml:space="preserve">відпочинку </w:t>
      </w:r>
      <w:r>
        <w:rPr>
          <w:rFonts w:ascii="Times New Roman" w:hAnsi="Times New Roman" w:cs="Times New Roman"/>
          <w:sz w:val="28"/>
          <w:szCs w:val="28"/>
        </w:rPr>
        <w:br/>
      </w:r>
      <w:r w:rsidR="00B864BE" w:rsidRPr="00B864BE">
        <w:rPr>
          <w:rFonts w:ascii="Times New Roman" w:hAnsi="Times New Roman" w:cs="Times New Roman"/>
          <w:sz w:val="28"/>
          <w:szCs w:val="28"/>
        </w:rPr>
        <w:t xml:space="preserve">дітей на 2018-2019 рр.  </w:t>
      </w:r>
      <w:r w:rsidR="00A4621F">
        <w:rPr>
          <w:rFonts w:ascii="Times New Roman" w:hAnsi="Times New Roman" w:cs="Times New Roman"/>
          <w:sz w:val="28"/>
          <w:szCs w:val="28"/>
        </w:rPr>
        <w:br/>
      </w:r>
    </w:p>
    <w:p w:rsidR="00B864BE" w:rsidRPr="00B864BE" w:rsidRDefault="00B864BE" w:rsidP="00B864BE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16 частини 1 статті 43 Закону України «Про місцеве самоврядування в Україні», статтею 3 Закону України «Про державну допомогу сім’ям з дітьми», статтями 7, 8, 24 Закону України «Про оздоровлення та відпочинок дітей», селищна рада</w:t>
      </w:r>
    </w:p>
    <w:p w:rsidR="00B864BE" w:rsidRPr="00B864BE" w:rsidRDefault="00B864BE" w:rsidP="00B864BE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B864BE" w:rsidRDefault="00B864BE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Унести зміни до </w:t>
      </w:r>
      <w:r>
        <w:rPr>
          <w:rFonts w:ascii="Times New Roman" w:hAnsi="Times New Roman"/>
          <w:sz w:val="28"/>
          <w:szCs w:val="28"/>
        </w:rPr>
        <w:t xml:space="preserve">Програми оздоровлення та відпочинку дітей на 2018-2019 роки", затвердженої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дев’ятої сесії селищної ради сьомого скликання від 27 квітня 2018 року «Про затвердження  селищної  Програми  оздоровлення та відпочинку дітей на 2018-2019 роки»,  зокрема: </w:t>
      </w:r>
    </w:p>
    <w:p w:rsidR="00B864BE" w:rsidRDefault="00B864BE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Паспорту Програми викласти в такій редакції:</w:t>
      </w:r>
    </w:p>
    <w:p w:rsidR="00B864BE" w:rsidRDefault="00B864BE" w:rsidP="00B864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3C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586,169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B864BE" w:rsidRDefault="00B864BE" w:rsidP="00B864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9.1. Коштів </w:t>
      </w:r>
      <w:r w:rsidRPr="002C56A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56AE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</w:t>
      </w:r>
      <w:r w:rsidRPr="00B53C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B53C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285,217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тис. грн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B864BE" w:rsidRDefault="00B864BE" w:rsidP="00B864B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Pr="00935506">
        <w:rPr>
          <w:b/>
        </w:rPr>
        <w:t xml:space="preserve"> </w:t>
      </w:r>
      <w:r>
        <w:rPr>
          <w:b/>
        </w:rPr>
        <w:t xml:space="preserve">      </w:t>
      </w: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Pr="00935506">
        <w:rPr>
          <w:rFonts w:ascii="Times New Roman" w:hAnsi="Times New Roman" w:cs="Times New Roman"/>
          <w:b/>
          <w:sz w:val="28"/>
          <w:szCs w:val="28"/>
        </w:rPr>
        <w:t>72,752тис.грн.</w:t>
      </w:r>
    </w:p>
    <w:p w:rsidR="00B864BE" w:rsidRDefault="00B864BE" w:rsidP="00A46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коштів інших джерел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56AE">
        <w:rPr>
          <w:rFonts w:ascii="Times New Roman" w:hAnsi="Times New Roman" w:cs="Times New Roman"/>
          <w:b/>
          <w:sz w:val="28"/>
          <w:szCs w:val="28"/>
          <w:u w:val="single"/>
        </w:rPr>
        <w:t>228,2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64BE" w:rsidRDefault="00B864BE" w:rsidP="00A4621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Додаток 1 до Програми викласти в такій редакції:</w:t>
      </w:r>
    </w:p>
    <w:p w:rsidR="00A4621F" w:rsidRDefault="00A4621F" w:rsidP="00A4621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4BE" w:rsidRDefault="00B864BE" w:rsidP="00B864BE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B864BE" w:rsidRDefault="00B864BE" w:rsidP="00B864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B864BE" w:rsidRDefault="00B864BE" w:rsidP="00B864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A4621F" w:rsidRDefault="00A4621F" w:rsidP="00B864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/>
      </w:tblPr>
      <w:tblGrid>
        <w:gridCol w:w="1977"/>
        <w:gridCol w:w="1475"/>
        <w:gridCol w:w="2295"/>
        <w:gridCol w:w="2456"/>
      </w:tblGrid>
      <w:tr w:rsidR="00B864BE" w:rsidRPr="0046496F" w:rsidTr="00CA3766">
        <w:trPr>
          <w:trHeight w:val="604"/>
        </w:trPr>
        <w:tc>
          <w:tcPr>
            <w:tcW w:w="1977" w:type="dxa"/>
            <w:vMerge w:val="restart"/>
            <w:tcMar>
              <w:left w:w="93" w:type="dxa"/>
            </w:tcMar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 xml:space="preserve">Обсяг коштів, які пропонується залучити на </w:t>
            </w:r>
            <w:r w:rsidRPr="00464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виконання Програми</w:t>
            </w:r>
          </w:p>
        </w:tc>
        <w:tc>
          <w:tcPr>
            <w:tcW w:w="1475" w:type="dxa"/>
            <w:vMerge w:val="restart"/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Всього, витрати на виконання</w:t>
            </w:r>
          </w:p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Програми</w:t>
            </w:r>
          </w:p>
        </w:tc>
        <w:tc>
          <w:tcPr>
            <w:tcW w:w="4751" w:type="dxa"/>
            <w:gridSpan w:val="2"/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Етапи виконання Програми</w:t>
            </w:r>
          </w:p>
        </w:tc>
      </w:tr>
      <w:tr w:rsidR="00B864BE" w:rsidRPr="0046496F" w:rsidTr="00CA3766">
        <w:trPr>
          <w:trHeight w:val="711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B864BE" w:rsidRPr="0046496F" w:rsidRDefault="00B864BE" w:rsidP="00CA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B864BE" w:rsidRPr="0046496F" w:rsidRDefault="00B864BE" w:rsidP="00CA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B864BE" w:rsidRPr="0046496F" w:rsidTr="00CA3766">
        <w:trPr>
          <w:trHeight w:val="714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B864BE" w:rsidRPr="0046496F" w:rsidRDefault="00B864BE" w:rsidP="00CA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B864BE" w:rsidRPr="0046496F" w:rsidRDefault="00B864BE" w:rsidP="00CA3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</w:tcPr>
          <w:p w:rsidR="00B864BE" w:rsidRPr="00F575E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2456" w:type="dxa"/>
          </w:tcPr>
          <w:p w:rsidR="00B864BE" w:rsidRPr="00F575E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</w:tr>
      <w:tr w:rsidR="00B864BE" w:rsidRPr="0046496F" w:rsidTr="00CA3766">
        <w:tc>
          <w:tcPr>
            <w:tcW w:w="1977" w:type="dxa"/>
            <w:tcMar>
              <w:left w:w="93" w:type="dxa"/>
            </w:tcMar>
          </w:tcPr>
          <w:p w:rsidR="00B864BE" w:rsidRPr="0046496F" w:rsidRDefault="00B864BE" w:rsidP="00CA37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Обсяг ресурсів, усього,</w:t>
            </w:r>
          </w:p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7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586,169</w:t>
            </w:r>
          </w:p>
        </w:tc>
        <w:tc>
          <w:tcPr>
            <w:tcW w:w="229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387,069</w:t>
            </w:r>
          </w:p>
        </w:tc>
        <w:tc>
          <w:tcPr>
            <w:tcW w:w="2456" w:type="dxa"/>
          </w:tcPr>
          <w:p w:rsidR="00B864BE" w:rsidRPr="002C56AE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199,1</w:t>
            </w:r>
          </w:p>
        </w:tc>
      </w:tr>
      <w:tr w:rsidR="00B864BE" w:rsidRPr="0046496F" w:rsidTr="00CA3766">
        <w:tc>
          <w:tcPr>
            <w:tcW w:w="1977" w:type="dxa"/>
            <w:tcMar>
              <w:left w:w="93" w:type="dxa"/>
            </w:tcMar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47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9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4BE" w:rsidRPr="0046496F" w:rsidTr="00CA3766">
        <w:tc>
          <w:tcPr>
            <w:tcW w:w="1977" w:type="dxa"/>
            <w:tcMar>
              <w:left w:w="93" w:type="dxa"/>
            </w:tcMar>
          </w:tcPr>
          <w:p w:rsidR="00B864BE" w:rsidRPr="00BA1C52" w:rsidRDefault="00B864BE" w:rsidP="00CA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147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285,217</w:t>
            </w:r>
          </w:p>
        </w:tc>
        <w:tc>
          <w:tcPr>
            <w:tcW w:w="2295" w:type="dxa"/>
          </w:tcPr>
          <w:p w:rsidR="00B864BE" w:rsidRPr="005902A9" w:rsidRDefault="00B864BE" w:rsidP="00CA3766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205,217</w:t>
            </w:r>
          </w:p>
        </w:tc>
        <w:tc>
          <w:tcPr>
            <w:tcW w:w="2456" w:type="dxa"/>
          </w:tcPr>
          <w:p w:rsidR="00B864BE" w:rsidRPr="002C56AE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B864BE" w:rsidRPr="0046496F" w:rsidTr="00CA3766">
        <w:tc>
          <w:tcPr>
            <w:tcW w:w="1977" w:type="dxa"/>
            <w:tcMar>
              <w:left w:w="93" w:type="dxa"/>
            </w:tcMar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46496F">
              <w:rPr>
                <w:rFonts w:ascii="Times New Roman" w:hAnsi="Times New Roman" w:cs="Times New Roman"/>
                <w:sz w:val="28"/>
                <w:szCs w:val="28"/>
              </w:rPr>
              <w:t xml:space="preserve"> джерел</w:t>
            </w:r>
          </w:p>
        </w:tc>
        <w:tc>
          <w:tcPr>
            <w:tcW w:w="1475" w:type="dxa"/>
          </w:tcPr>
          <w:p w:rsidR="00B864BE" w:rsidRPr="002C56AE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228,2</w:t>
            </w:r>
          </w:p>
        </w:tc>
        <w:tc>
          <w:tcPr>
            <w:tcW w:w="2295" w:type="dxa"/>
          </w:tcPr>
          <w:p w:rsidR="00B864BE" w:rsidRPr="002C56AE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2456" w:type="dxa"/>
          </w:tcPr>
          <w:p w:rsidR="00B864BE" w:rsidRPr="002C56AE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</w:tr>
      <w:tr w:rsidR="00B864BE" w:rsidRPr="0046496F" w:rsidTr="00CA3766">
        <w:tc>
          <w:tcPr>
            <w:tcW w:w="1977" w:type="dxa"/>
            <w:tcMar>
              <w:left w:w="93" w:type="dxa"/>
            </w:tcMar>
          </w:tcPr>
          <w:p w:rsidR="00B864BE" w:rsidRPr="0046496F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</w:tcPr>
          <w:p w:rsidR="00B864BE" w:rsidRPr="00935506" w:rsidRDefault="00B864BE" w:rsidP="00C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2295" w:type="dxa"/>
          </w:tcPr>
          <w:p w:rsidR="00B864BE" w:rsidRPr="00935506" w:rsidRDefault="00B864BE" w:rsidP="00C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</w:tc>
        <w:tc>
          <w:tcPr>
            <w:tcW w:w="2456" w:type="dxa"/>
          </w:tcPr>
          <w:p w:rsidR="00B864BE" w:rsidRPr="00935506" w:rsidRDefault="00B864BE" w:rsidP="00CA37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35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64BE" w:rsidRDefault="00B864BE" w:rsidP="00B864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B864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64BE" w:rsidRDefault="00B864BE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Викласти в новій редакції Додаток 2 до Програми «Напрями діяльності та заходи  Програми оздоровлення та відпочинку дітей на 2018-2019 роки» (додається).</w:t>
      </w:r>
    </w:p>
    <w:p w:rsidR="00B864BE" w:rsidRDefault="00B864BE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Викласти в новій редакції Додаток 3 до Програми «Очікувані результати виконання Програми» (додається).</w:t>
      </w:r>
    </w:p>
    <w:p w:rsidR="00B864BE" w:rsidRDefault="00B864BE" w:rsidP="00B864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64BE" w:rsidRDefault="00B864BE" w:rsidP="00B864BE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Організацію виконання цього рішення покласти на відділ з питань освіти, культури та соціального захисту виконавчого комітету селищної ради, контроль за виконанням рішення –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B864BE" w:rsidRDefault="00B864BE" w:rsidP="00B864BE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4BE" w:rsidRDefault="00B864BE" w:rsidP="00B864BE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4BE" w:rsidRDefault="00B864BE" w:rsidP="00B864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                І.О.Коба</w:t>
      </w:r>
    </w:p>
    <w:p w:rsidR="00B864BE" w:rsidRDefault="00B864BE" w:rsidP="00B864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4BE" w:rsidRPr="00326AB7" w:rsidRDefault="00B864BE" w:rsidP="00B864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BE" w:rsidRPr="000F644B" w:rsidRDefault="00B864BE" w:rsidP="00B864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BE" w:rsidRPr="000F644B" w:rsidRDefault="00B864BE" w:rsidP="00B864BE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64BE" w:rsidRDefault="00B864BE" w:rsidP="00B864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4BE" w:rsidRPr="00DF6378" w:rsidRDefault="00B864BE" w:rsidP="00B864BE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4BE" w:rsidRPr="00CE246B" w:rsidRDefault="00B864BE" w:rsidP="00B864BE">
      <w:pPr>
        <w:jc w:val="both"/>
        <w:rPr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BE" w:rsidRDefault="00B864BE" w:rsidP="00D0515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B864BE" w:rsidP="00B864B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14523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05156" w:rsidRDefault="00D05156" w:rsidP="00D0515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864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5231">
        <w:rPr>
          <w:rFonts w:ascii="Times New Roman" w:hAnsi="Times New Roman" w:cs="Times New Roman"/>
          <w:sz w:val="28"/>
          <w:szCs w:val="28"/>
        </w:rPr>
        <w:t>Рішення</w:t>
      </w:r>
      <w:r w:rsidRPr="00D05156">
        <w:rPr>
          <w:rFonts w:ascii="Times New Roman" w:hAnsi="Times New Roman" w:cs="Times New Roman"/>
          <w:sz w:val="28"/>
          <w:szCs w:val="28"/>
        </w:rPr>
        <w:t xml:space="preserve"> дев'ятої</w:t>
      </w:r>
      <w:r w:rsidR="00145231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145231" w:rsidRPr="00D05156" w:rsidRDefault="00B864BE">
      <w:pPr>
        <w:pStyle w:val="a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56"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D05156"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>селищної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ради</w:t>
      </w:r>
      <w:r w:rsidR="00145231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5231" w:rsidRPr="00D05156" w:rsidRDefault="00145231" w:rsidP="00D71485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B864B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145231" w:rsidRPr="00D05156" w:rsidRDefault="00145231" w:rsidP="00D71485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B864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27 квітня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2018 року</w:t>
      </w:r>
    </w:p>
    <w:p w:rsidR="00145231" w:rsidRDefault="00145231">
      <w:pPr>
        <w:jc w:val="right"/>
        <w:rPr>
          <w:color w:val="800000"/>
          <w:sz w:val="28"/>
          <w:szCs w:val="28"/>
        </w:rPr>
      </w:pPr>
    </w:p>
    <w:p w:rsidR="00145231" w:rsidRDefault="00145231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575EF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Pr="00F575EF">
        <w:rPr>
          <w:rFonts w:ascii="Times New Roman" w:hAnsi="Times New Roman" w:cs="Times New Roman"/>
          <w:color w:val="auto"/>
          <w:sz w:val="28"/>
          <w:szCs w:val="28"/>
        </w:rPr>
        <w:t xml:space="preserve"> Нові Санжари</w:t>
      </w: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8227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271C" w:rsidRDefault="0082271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 І С 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CB66C4" w:rsidRDefault="00CB66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6C4" w:rsidRDefault="00CB66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2045AF" w:rsidRDefault="002045AF">
      <w:pPr>
        <w:jc w:val="both"/>
        <w:rPr>
          <w:sz w:val="28"/>
          <w:szCs w:val="28"/>
        </w:rPr>
      </w:pPr>
    </w:p>
    <w:p w:rsidR="0082271C" w:rsidRDefault="0082271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ПРОГРАМИ ОЗДОРОВЛЕННЯ ТА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Default="00145231" w:rsidP="00FC56B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 з питань освіти, культури, соціального захисту населення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центральна районна лікарня, відділ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відділ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відділи з питань освіти, культури, соціального захисту населення та фінансування, економічного розвитку, бухгалтерського обліку та звітності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ради, центральна районна лікарня,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КЗ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>
      <w:pPr>
        <w:pStyle w:val="a8"/>
        <w:jc w:val="both"/>
      </w:pPr>
    </w:p>
    <w:p w:rsidR="00145231" w:rsidRDefault="00145231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145231" w:rsidRPr="007441C7" w:rsidRDefault="00145231">
      <w:pPr>
        <w:pStyle w:val="a8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Pr="005902A9" w:rsidRDefault="0014523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722DA2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5</w:t>
      </w:r>
      <w:r w:rsidR="008D0D38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86</w:t>
      </w:r>
      <w:r w:rsidR="00722DA2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8D0D38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169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тис. грн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>.,</w:t>
      </w:r>
      <w:r w:rsidRPr="005902A9">
        <w:rPr>
          <w:rFonts w:ascii="Times New Roman" w:hAnsi="Times New Roman" w:cs="Times New Roman"/>
          <w:color w:val="auto"/>
          <w:sz w:val="28"/>
          <w:szCs w:val="28"/>
        </w:rPr>
        <w:t xml:space="preserve"> у тому числі:</w:t>
      </w:r>
    </w:p>
    <w:p w:rsidR="00145231" w:rsidRPr="005902A9" w:rsidRDefault="00145231">
      <w:pPr>
        <w:pStyle w:val="a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9.1. Коштів </w:t>
      </w:r>
      <w:r w:rsidRPr="005902A9">
        <w:rPr>
          <w:rFonts w:ascii="Times New Roman" w:hAnsi="Times New Roman" w:cs="Times New Roman"/>
          <w:color w:val="auto"/>
          <w:sz w:val="28"/>
          <w:szCs w:val="28"/>
        </w:rPr>
        <w:t>бюджету об’єднаної територіальної громади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722DA2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8D0D38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85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8D0D38"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217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тис. грн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>.,</w:t>
      </w:r>
    </w:p>
    <w:p w:rsidR="00145231" w:rsidRPr="005902A9" w:rsidRDefault="00145231">
      <w:pPr>
        <w:pStyle w:val="a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45231" w:rsidRPr="005902A9" w:rsidRDefault="00145231" w:rsidP="0093550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902A9">
        <w:rPr>
          <w:color w:val="auto"/>
        </w:rPr>
        <w:t xml:space="preserve">           </w:t>
      </w:r>
      <w:r w:rsidRPr="005902A9">
        <w:rPr>
          <w:b/>
          <w:color w:val="auto"/>
        </w:rPr>
        <w:t xml:space="preserve">       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>коштів обласного бюджету:</w:t>
      </w:r>
      <w:r w:rsidRPr="00590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2A9">
        <w:rPr>
          <w:rFonts w:ascii="Times New Roman" w:hAnsi="Times New Roman" w:cs="Times New Roman"/>
          <w:b/>
          <w:color w:val="auto"/>
          <w:sz w:val="28"/>
          <w:szCs w:val="28"/>
        </w:rPr>
        <w:t>72,752тис.грн.</w:t>
      </w:r>
    </w:p>
    <w:p w:rsidR="00145231" w:rsidRDefault="00145231" w:rsidP="00D0515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228,2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71C" w:rsidRDefault="0082271C" w:rsidP="00D0515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71C" w:rsidRDefault="0082271C" w:rsidP="00D0515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156" w:rsidRPr="00D05156" w:rsidRDefault="00D05156" w:rsidP="00D0515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A808A1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характеристик стану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8A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A808A1">
        <w:rPr>
          <w:rFonts w:ascii="Times New Roman" w:hAnsi="Times New Roman" w:cs="Times New Roman"/>
          <w:sz w:val="28"/>
          <w:szCs w:val="28"/>
        </w:rPr>
        <w:t>.</w:t>
      </w:r>
      <w:bookmarkStart w:id="1" w:name="26"/>
      <w:bookmarkEnd w:id="1"/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Новосанжарській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Відділом  з питань освіти, культури, соціального захисту населення  виконавчого комітету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B864BE" w:rsidRDefault="00B864BE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2C" w:rsidRPr="00B864BE" w:rsidRDefault="0022202C" w:rsidP="00B864B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02C" w:rsidRDefault="00222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 ПРОГРАМИ</w:t>
      </w:r>
    </w:p>
    <w:p w:rsidR="00145231" w:rsidRPr="000457BE" w:rsidRDefault="00145231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82271C" w:rsidRDefault="0082271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22202C" w:rsidRDefault="0022202C">
      <w:pPr>
        <w:pStyle w:val="a8"/>
        <w:jc w:val="center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22202C" w:rsidRDefault="002220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864BE" w:rsidRDefault="00B864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Додаток 1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tbl>
      <w:tblPr>
        <w:tblW w:w="82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/>
      </w:tblPr>
      <w:tblGrid>
        <w:gridCol w:w="1977"/>
        <w:gridCol w:w="1475"/>
        <w:gridCol w:w="2295"/>
        <w:gridCol w:w="2456"/>
      </w:tblGrid>
      <w:tr w:rsidR="00145231" w:rsidRPr="0046496F" w:rsidTr="00BA1C52">
        <w:trPr>
          <w:trHeight w:val="604"/>
        </w:trPr>
        <w:tc>
          <w:tcPr>
            <w:tcW w:w="1977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475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BA1C52">
        <w:trPr>
          <w:trHeight w:val="711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2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BA1C52">
        <w:trPr>
          <w:trHeight w:val="714"/>
        </w:trPr>
        <w:tc>
          <w:tcPr>
            <w:tcW w:w="1977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45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Обсяг ресурсів, усього,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75" w:type="dxa"/>
          </w:tcPr>
          <w:p w:rsidR="00145231" w:rsidRPr="005902A9" w:rsidRDefault="00722DA2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8D0D38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D0D38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2295" w:type="dxa"/>
          </w:tcPr>
          <w:p w:rsidR="00145231" w:rsidRPr="005902A9" w:rsidRDefault="00722DA2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8D0D38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D0D38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069</w:t>
            </w:r>
          </w:p>
        </w:tc>
        <w:tc>
          <w:tcPr>
            <w:tcW w:w="2456" w:type="dxa"/>
          </w:tcPr>
          <w:p w:rsidR="00145231" w:rsidRPr="002C56AE" w:rsidRDefault="00722D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199,1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475" w:type="dxa"/>
          </w:tcPr>
          <w:p w:rsidR="00145231" w:rsidRPr="005902A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295" w:type="dxa"/>
          </w:tcPr>
          <w:p w:rsidR="00145231" w:rsidRPr="005902A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456" w:type="dxa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1475" w:type="dxa"/>
          </w:tcPr>
          <w:p w:rsidR="00145231" w:rsidRPr="005902A9" w:rsidRDefault="00722DA2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D0D38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85,217</w:t>
            </w:r>
          </w:p>
        </w:tc>
        <w:tc>
          <w:tcPr>
            <w:tcW w:w="2295" w:type="dxa"/>
          </w:tcPr>
          <w:p w:rsidR="00145231" w:rsidRPr="005902A9" w:rsidRDefault="008D0D38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  <w:r w:rsidR="00722DA2"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90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</w:t>
            </w:r>
          </w:p>
        </w:tc>
        <w:tc>
          <w:tcPr>
            <w:tcW w:w="2456" w:type="dxa"/>
          </w:tcPr>
          <w:p w:rsidR="00145231" w:rsidRPr="002C56AE" w:rsidRDefault="00722DA2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80,0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46496F">
              <w:rPr>
                <w:rFonts w:ascii="Times New Roman" w:hAnsi="Times New Roman" w:cs="Times New Roman"/>
                <w:sz w:val="28"/>
                <w:szCs w:val="28"/>
              </w:rPr>
              <w:t xml:space="preserve"> джерел</w:t>
            </w:r>
          </w:p>
        </w:tc>
        <w:tc>
          <w:tcPr>
            <w:tcW w:w="147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295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456" w:type="dxa"/>
          </w:tcPr>
          <w:p w:rsidR="00145231" w:rsidRPr="002C56AE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2C56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BA1C52">
        <w:tc>
          <w:tcPr>
            <w:tcW w:w="1977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2295" w:type="dxa"/>
          </w:tcPr>
          <w:p w:rsidR="00145231" w:rsidRPr="00935506" w:rsidRDefault="00145231" w:rsidP="009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27">
              <w:rPr>
                <w:rFonts w:ascii="Times New Roman" w:hAnsi="Times New Roman" w:cs="Times New Roman"/>
                <w:sz w:val="24"/>
                <w:szCs w:val="24"/>
              </w:rPr>
              <w:t>72,752</w:t>
            </w:r>
          </w:p>
        </w:tc>
        <w:tc>
          <w:tcPr>
            <w:tcW w:w="2456" w:type="dxa"/>
          </w:tcPr>
          <w:p w:rsidR="00145231" w:rsidRPr="00935506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935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22202C" w:rsidRPr="004916A4" w:rsidRDefault="0022202C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B864BE">
          <w:pgSz w:w="11906" w:h="16838"/>
          <w:pgMar w:top="142" w:right="850" w:bottom="360" w:left="1440" w:header="0" w:footer="0" w:gutter="0"/>
          <w:cols w:space="720"/>
          <w:formProt w:val="0"/>
          <w:docGrid w:linePitch="240" w:charSpace="-2049"/>
        </w:sectPr>
      </w:pPr>
    </w:p>
    <w:p w:rsidR="00145231" w:rsidRDefault="00145231" w:rsidP="00BA1C52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tbl>
      <w:tblPr>
        <w:tblW w:w="161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538"/>
        <w:gridCol w:w="1857"/>
        <w:gridCol w:w="2367"/>
        <w:gridCol w:w="1273"/>
        <w:gridCol w:w="2413"/>
        <w:gridCol w:w="1701"/>
        <w:gridCol w:w="1057"/>
        <w:gridCol w:w="1667"/>
        <w:gridCol w:w="996"/>
        <w:gridCol w:w="2286"/>
      </w:tblGrid>
      <w:tr w:rsidR="00145231" w:rsidRPr="005D30EC" w:rsidTr="00445B71">
        <w:trPr>
          <w:trHeight w:val="435"/>
        </w:trPr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9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Строк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виконан-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Про-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грами        </w:t>
            </w:r>
          </w:p>
        </w:tc>
        <w:tc>
          <w:tcPr>
            <w:tcW w:w="2466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фінансу-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445B71">
        <w:trPr>
          <w:trHeight w:val="34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31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Підтримка закладів оздоровлення та відпочинку дітей у межах своїх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повно-важень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органами місцевого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само-врядування</w:t>
            </w:r>
            <w:proofErr w:type="spellEnd"/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на-дання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закла-дам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т.ч.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санаторію-профілак-торію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що-до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оплати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зем-лекористування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комунально-побуто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харчу-ван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1.2.Забезпечити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перебійне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газо-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теплопостачання, виконання інших робіт щодо життєво важливих складових функціонування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в них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дитячих закладів оздоровлення і відпочинку, 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від-повідних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закла-дів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дітей, в т.ч. місцях для купання (пляжів). Організувати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перевезення дітей та забезпечити супроводження автобусів під час перевезення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1063"/>
        </w:trPr>
        <w:tc>
          <w:tcPr>
            <w:tcW w:w="557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земельних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діля-нок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 відповідності до діючих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норма-тивно-правових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актів. 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Виконком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1.5.Забезпечити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обсте-ження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дна акваторії виділених пляжів для відпочинку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водолазами-профе-сіоналами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підрозді-лів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ате-стацію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у Міністерстві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над-звичайних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ситуацій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 дітей разом з РВ УМНС 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рятувальні пости на водних об’єктах літнього відпочинку та оздоровлення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закладів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від-рахування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протипо-жежний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про-ведення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вибухо-небезпечних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по-стійний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контроль за станом громадського порядку в місцях відпочинку дітей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ГУНП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1260"/>
        </w:trPr>
        <w:tc>
          <w:tcPr>
            <w:tcW w:w="557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роботою дитячих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ровчих закладів, контроль за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дотри-манням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норм, якістю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харчу-вання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запобігання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інфек-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ційним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захворюван-ням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Держпродспожив-служби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Плтавській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390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762779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0D38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чинку дітей кваліфікованих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пе-дагогів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за-твердити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штатні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роз-писи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держав-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комунальної форми власності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навчання та перевірку знань з питань пожежної безпеки керівниками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оздоровлен-ня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3D024C" w:rsidRDefault="00145231" w:rsidP="003D02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024C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Небюджетні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джерела</w:t>
            </w: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5902A9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0033D6" w:rsidRPr="005902A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85,217</w:t>
            </w: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0033D6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87" w:type="dxa"/>
          </w:tcPr>
          <w:p w:rsidR="00145231" w:rsidRPr="005902A9" w:rsidRDefault="000033D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205,217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72,752</w:t>
            </w:r>
          </w:p>
        </w:tc>
        <w:tc>
          <w:tcPr>
            <w:tcW w:w="1123" w:type="dxa"/>
          </w:tcPr>
          <w:p w:rsidR="00145231" w:rsidRPr="00AC50AF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80,0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AC50AF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AC50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145231" w:rsidRPr="00935506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b/>
                <w:color w:val="993300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Оздоровлення 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3.1.Забезпечити 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E29B3"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 w:rsid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дитя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саме:</w:t>
            </w:r>
          </w:p>
          <w:p w:rsidR="006A3937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</w:t>
            </w:r>
            <w:r w:rsidR="007979BB" w:rsidRPr="007979BB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дітей осіб, визнаних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учасника-ми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бойових дій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від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Ук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раїни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«про статус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ве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теранів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тії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 w:rsidR="006A3937"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безвіс-ти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)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по-мер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пора-нення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конфліктів,а також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145231" w:rsidRPr="0063129E" w:rsidRDefault="006A3937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дітей,один із батьків яких загинув під час масових акцій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12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контузії чи каліцтва, одержаних під час масових акцій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гро-мадянського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протес-ту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на території ОТГ,дітей, які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про-живають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населе-них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пунктах,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взя-тих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облік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служ-бами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складних життєвих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обстави-нах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,дітей, які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по-страждали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внаслідок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>стихійного лиха, техногенних аварій, катастроф,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дітей з </w:t>
            </w:r>
            <w:proofErr w:type="spellStart"/>
            <w:r w:rsidR="00145231"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 w:rsidR="0063129E">
              <w:rPr>
                <w:rFonts w:ascii="Times New Roman" w:hAnsi="Times New Roman"/>
                <w:sz w:val="24"/>
                <w:szCs w:val="24"/>
              </w:rPr>
              <w:t>-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з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рідних дітей батьків-вихователів або прийомних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бать-</w:t>
            </w:r>
            <w:r w:rsidR="001B4D99">
              <w:rPr>
                <w:rFonts w:ascii="Times New Roman" w:hAnsi="Times New Roman"/>
                <w:sz w:val="24"/>
                <w:szCs w:val="24"/>
              </w:rPr>
              <w:lastRenderedPageBreak/>
              <w:t>ків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бувають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вого комплексу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соці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-альної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593A2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C32926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Небюджетні</w:t>
            </w:r>
            <w:proofErr w:type="spellEnd"/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5902A9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  <w:r w:rsidR="00ED38B7"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67</w:t>
            </w:r>
            <w:r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="00ED38B7"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  <w:r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110,0</w:t>
            </w: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187" w:type="dxa"/>
          </w:tcPr>
          <w:p w:rsidR="00145231" w:rsidRPr="005902A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60,248</w:t>
            </w:r>
            <w:r w:rsidR="00ED38B7"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+ 27,532=</w:t>
            </w:r>
          </w:p>
          <w:p w:rsidR="00ED38B7" w:rsidRPr="005902A9" w:rsidRDefault="00ED38B7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23" w:type="dxa"/>
          </w:tcPr>
          <w:p w:rsidR="00145231" w:rsidRPr="00C47510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720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бюджету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ських,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об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-дерів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дитячих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гро-мад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цій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дітей-учасників творчих колективів та спортивних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ко-манд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2E5EC4" w:rsidRDefault="00145231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0C731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23" w:type="dxa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2852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.Проводити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/>
                <w:sz w:val="24"/>
                <w:szCs w:val="24"/>
              </w:rPr>
              <w:t>-ту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ченню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435"/>
        </w:trPr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96" w:type="dxa"/>
          </w:tcPr>
          <w:p w:rsidR="00145231" w:rsidRPr="005902A9" w:rsidRDefault="000033D6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</w:tcPr>
          <w:p w:rsidR="008D0D38" w:rsidRPr="005902A9" w:rsidRDefault="00145231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BD7452"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+ 22,0+22685,3=</w:t>
            </w:r>
          </w:p>
          <w:p w:rsidR="00BD7452" w:rsidRPr="005902A9" w:rsidRDefault="000033D6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145231" w:rsidRPr="005902A9" w:rsidRDefault="00145231" w:rsidP="000033D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435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відпо-чинку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ніж 70% від вартості путівки,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 w:rsidR="00373DAF">
              <w:rPr>
                <w:rFonts w:ascii="Times New Roman" w:hAnsi="Times New Roman"/>
                <w:sz w:val="24"/>
                <w:szCs w:val="24"/>
                <w:lang w:val="ru-RU"/>
              </w:rPr>
              <w:t>мі</w:t>
            </w:r>
            <w:r w:rsidR="00C5298D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C9027F" w:rsidRPr="00C9027F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27F" w:rsidRPr="005D30EC" w:rsidRDefault="00C9027F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виконав-чого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Ново-санжарської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селищ-ної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rPr>
          <w:trHeight w:val="435"/>
        </w:trPr>
        <w:tc>
          <w:tcPr>
            <w:tcW w:w="557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C9027F" w:rsidRPr="005D30EC" w:rsidRDefault="00A7043B" w:rsidP="00BA1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3.7.Під час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ме-ханізмом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відшкоду-вання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вар-тості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путівки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корис-туватись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Порядком організації заходів з відшкодування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час-тини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вартості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путів-ки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дитячим закладам оздоровлення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від-починку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надані послуги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відпочинку дітей, які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дітьми, в редакції, затвердженій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рішен-ням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п’ятнадцятої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се-сії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Полтавської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сьомого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скли-кання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26.04.2017 року №450 (зі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змі-нами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затверджени-ми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рішенням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сімнад-цятої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сесії облради сьомого скликання від 14.07.2017 року №490).</w:t>
            </w:r>
          </w:p>
        </w:tc>
        <w:tc>
          <w:tcPr>
            <w:tcW w:w="1309" w:type="dxa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C9027F" w:rsidRDefault="00C9027F" w:rsidP="00BA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Соціально-педагогічна, </w:t>
            </w:r>
            <w:proofErr w:type="spellStart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медико-оздоровча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бібліотечно-інформаційну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робо-ту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створен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пунктів видачі літератури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правопорушень серед дітей у дитячих оздоровчих закладах.</w:t>
            </w: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4.2.Організувати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крає-знавчих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відпочи</w:t>
            </w:r>
            <w:r>
              <w:rPr>
                <w:rFonts w:ascii="Times New Roman" w:hAnsi="Times New Roman"/>
                <w:sz w:val="24"/>
                <w:szCs w:val="24"/>
              </w:rPr>
              <w:t>-ваючих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на їх замовлення.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Керівники оздоровчих 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просвіт-ницько-профілак-тич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роботи з дітьми та молоддю в дитячих таборах оздоровлення та відпочинку району 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557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09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Створення доступного та ефективного ринку послуг з оздоровлення 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 відпочинку дітей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lastRenderedPageBreak/>
              <w:t xml:space="preserve">Бюджет </w:t>
            </w:r>
            <w:r w:rsidRPr="00593A27">
              <w:rPr>
                <w:rFonts w:ascii="Times New Roman" w:hAnsi="Times New Roman" w:cs="Times New Roman"/>
                <w:b/>
              </w:rPr>
              <w:lastRenderedPageBreak/>
              <w:t>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</w:t>
            </w:r>
            <w:proofErr w:type="spellEnd"/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 джерела</w:t>
            </w:r>
          </w:p>
        </w:tc>
        <w:tc>
          <w:tcPr>
            <w:tcW w:w="1096" w:type="dxa"/>
          </w:tcPr>
          <w:p w:rsidR="00145231" w:rsidRPr="00D25845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37,2</w:t>
            </w:r>
          </w:p>
        </w:tc>
        <w:tc>
          <w:tcPr>
            <w:tcW w:w="1187" w:type="dxa"/>
          </w:tcPr>
          <w:p w:rsidR="00145231" w:rsidRPr="00FF6BCD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1123" w:type="dxa"/>
          </w:tcPr>
          <w:p w:rsidR="00145231" w:rsidRPr="00FF6BCD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  <w:p w:rsidR="00145231" w:rsidRPr="00FF6BCD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FF6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18,6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фільних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таборів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відпо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чинку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 денним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буванням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 на базі </w:t>
            </w:r>
            <w:proofErr w:type="spellStart"/>
            <w:r w:rsidRPr="002E13D2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кладів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загальної </w:t>
            </w:r>
            <w:proofErr w:type="spellStart"/>
            <w:r w:rsidRPr="002E13D2">
              <w:rPr>
                <w:rFonts w:ascii="Times New Roman" w:hAnsi="Times New Roman" w:cs="Times New Roman"/>
              </w:rPr>
              <w:t>серед</w:t>
            </w:r>
            <w:r>
              <w:rPr>
                <w:rFonts w:ascii="Times New Roman" w:hAnsi="Times New Roman" w:cs="Times New Roman"/>
              </w:rPr>
              <w:t>-</w:t>
            </w:r>
            <w:r w:rsidRPr="002E13D2">
              <w:rPr>
                <w:rFonts w:ascii="Times New Roman" w:hAnsi="Times New Roman" w:cs="Times New Roman"/>
              </w:rPr>
              <w:t>ньої</w:t>
            </w:r>
            <w:proofErr w:type="spellEnd"/>
            <w:r w:rsidRPr="002E13D2">
              <w:rPr>
                <w:rFonts w:ascii="Times New Roman" w:hAnsi="Times New Roman" w:cs="Times New Roman"/>
              </w:rPr>
              <w:t xml:space="preserve">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2E13D2" w:rsidRDefault="00145231" w:rsidP="00BA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відділи  з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 культури, соціального захисту населення,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бухгалтер-ського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мітету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2E13D2" w:rsidRDefault="00145231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87" w:type="dxa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дитячо-юнаць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спортивної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оздоровлення вихованців дитячо-юнацької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спор-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тивної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школи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466" w:type="dxa"/>
          </w:tcPr>
          <w:p w:rsidR="00145231" w:rsidRPr="00524928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економічного розвитку,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ності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2E13D2" w:rsidRDefault="00145231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 xml:space="preserve">Бюджет об’єднаної територіальної </w:t>
            </w:r>
            <w:r w:rsidRPr="00C32926">
              <w:rPr>
                <w:rFonts w:ascii="Times New Roman" w:hAnsi="Times New Roman" w:cs="Times New Roman"/>
              </w:rPr>
              <w:lastRenderedPageBreak/>
              <w:t>громади</w:t>
            </w:r>
          </w:p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1187" w:type="dxa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FF6BCD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23" w:type="dxa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Організаційне забезпечення оздоровлення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потре-бують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особли-вих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ліку-вально-профілактич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рингу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</w:t>
            </w:r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Стимулювання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-ня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розвитку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модерні-зації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ально-технічної бази,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якості та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оздоровчо-розважаль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послуг </w:t>
            </w:r>
          </w:p>
        </w:tc>
      </w:tr>
      <w:tr w:rsidR="008D0D38" w:rsidRPr="005D30EC" w:rsidTr="00445B71">
        <w:tc>
          <w:tcPr>
            <w:tcW w:w="557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309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66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культури,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захисту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</w:t>
            </w:r>
            <w:proofErr w:type="spellStart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кої</w:t>
            </w:r>
            <w:proofErr w:type="spellEnd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6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8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c>
          <w:tcPr>
            <w:tcW w:w="10267" w:type="dxa"/>
            <w:gridSpan w:val="6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096" w:type="dxa"/>
          </w:tcPr>
          <w:p w:rsidR="00145231" w:rsidRPr="00D25845" w:rsidRDefault="00722DA2" w:rsidP="00B06325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5</w:t>
            </w:r>
            <w:r w:rsidR="00B06325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="00B06325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7" w:type="dxa"/>
          </w:tcPr>
          <w:p w:rsidR="00145231" w:rsidRPr="00D25845" w:rsidRDefault="00B063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387,069</w:t>
            </w:r>
          </w:p>
        </w:tc>
        <w:tc>
          <w:tcPr>
            <w:tcW w:w="1123" w:type="dxa"/>
          </w:tcPr>
          <w:p w:rsidR="00145231" w:rsidRPr="00D2584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199,1</w:t>
            </w:r>
          </w:p>
        </w:tc>
        <w:tc>
          <w:tcPr>
            <w:tcW w:w="2482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8D0D38" w:rsidRDefault="008D0D38" w:rsidP="00BA1C52">
      <w:pPr>
        <w:pStyle w:val="a8"/>
        <w:rPr>
          <w:b/>
          <w:sz w:val="28"/>
          <w:szCs w:val="28"/>
        </w:rPr>
      </w:pPr>
    </w:p>
    <w:p w:rsidR="008D0D38" w:rsidRDefault="008D0D38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B864BE" w:rsidRDefault="00B864BE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B864BE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sz w:val="28"/>
          <w:szCs w:val="28"/>
        </w:rPr>
        <w:t>Додаток 3 до Програми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>
              <w:rPr>
                <w:rFonts w:ascii="Times New Roman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оздоровлення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від-починок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пільгових категорій (дітей-сиріт, позбавлених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батьків-ського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потер-пілих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талано-витих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обдарованих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пере-можців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зма-гань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 лідерів дитячих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громад-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ком-плексу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ді-тей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4516DA" w:rsidRPr="005902A9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516DA" w:rsidRPr="005902A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5902A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516DA" w:rsidRPr="005902A9">
              <w:rPr>
                <w:rFonts w:ascii="Times New Roman" w:hAnsi="Times New Roman"/>
                <w:color w:val="auto"/>
                <w:sz w:val="24"/>
                <w:szCs w:val="24"/>
              </w:rPr>
              <w:t>103</w:t>
            </w:r>
            <w:bookmarkStart w:id="3" w:name="_GoBack"/>
            <w:bookmarkEnd w:id="3"/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4516D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B20FB5" w:rsidRPr="005902A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5902A9" w:rsidRDefault="004516DA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5902A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4</w:t>
            </w:r>
            <w:r w:rsidR="004516DA" w:rsidRPr="005902A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:rsidR="00145231" w:rsidRPr="005902A9" w:rsidRDefault="00D2393C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5902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5902A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-кількість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-сума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Pr="00935506" w:rsidRDefault="00145231" w:rsidP="00935506">
      <w:pPr>
        <w:rPr>
          <w:rFonts w:ascii="Times New Roman" w:hAnsi="Times New Roman" w:cs="Times New Roman"/>
        </w:rPr>
      </w:pPr>
      <w:r w:rsidRPr="00935506">
        <w:rPr>
          <w:rFonts w:ascii="Times New Roman" w:hAnsi="Times New Roman" w:cs="Times New Roman"/>
          <w:sz w:val="28"/>
          <w:szCs w:val="28"/>
        </w:rPr>
        <w:t xml:space="preserve">Секретар  селищної ради                                                    ___________                               </w:t>
      </w:r>
      <w:r w:rsidR="000B50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35506">
        <w:rPr>
          <w:rFonts w:ascii="Times New Roman" w:hAnsi="Times New Roman" w:cs="Times New Roman"/>
          <w:sz w:val="28"/>
          <w:szCs w:val="28"/>
        </w:rPr>
        <w:t xml:space="preserve">О.О.Вовк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231" w:rsidRDefault="00145231" w:rsidP="00BA1C52">
      <w:pPr>
        <w:pStyle w:val="a8"/>
        <w:jc w:val="right"/>
      </w:pPr>
    </w:p>
    <w:sectPr w:rsidR="00145231" w:rsidSect="00B864BE">
      <w:pgSz w:w="16838" w:h="11906" w:orient="landscape"/>
      <w:pgMar w:top="568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686"/>
    <w:rsid w:val="000033D6"/>
    <w:rsid w:val="00025FF9"/>
    <w:rsid w:val="000457BE"/>
    <w:rsid w:val="0007433E"/>
    <w:rsid w:val="000B5051"/>
    <w:rsid w:val="000C7315"/>
    <w:rsid w:val="00145231"/>
    <w:rsid w:val="00177255"/>
    <w:rsid w:val="001B4D99"/>
    <w:rsid w:val="002045AF"/>
    <w:rsid w:val="0022202C"/>
    <w:rsid w:val="00253E1E"/>
    <w:rsid w:val="002823F3"/>
    <w:rsid w:val="00287DB0"/>
    <w:rsid w:val="002B03B8"/>
    <w:rsid w:val="002C56AE"/>
    <w:rsid w:val="002E13D2"/>
    <w:rsid w:val="002E5EC4"/>
    <w:rsid w:val="00373DAF"/>
    <w:rsid w:val="003B14B9"/>
    <w:rsid w:val="003B64AA"/>
    <w:rsid w:val="003D024C"/>
    <w:rsid w:val="00445B71"/>
    <w:rsid w:val="004516DA"/>
    <w:rsid w:val="0046496F"/>
    <w:rsid w:val="0047657E"/>
    <w:rsid w:val="004916A4"/>
    <w:rsid w:val="004E29B3"/>
    <w:rsid w:val="00524928"/>
    <w:rsid w:val="005902A9"/>
    <w:rsid w:val="00593A27"/>
    <w:rsid w:val="00596929"/>
    <w:rsid w:val="005D30EC"/>
    <w:rsid w:val="005F62AC"/>
    <w:rsid w:val="006157DE"/>
    <w:rsid w:val="0063129E"/>
    <w:rsid w:val="00640867"/>
    <w:rsid w:val="006A3937"/>
    <w:rsid w:val="006E0770"/>
    <w:rsid w:val="00722DA2"/>
    <w:rsid w:val="007441C7"/>
    <w:rsid w:val="00762779"/>
    <w:rsid w:val="007820C6"/>
    <w:rsid w:val="0078526E"/>
    <w:rsid w:val="007979BB"/>
    <w:rsid w:val="007A02E0"/>
    <w:rsid w:val="007E7F3D"/>
    <w:rsid w:val="008029DB"/>
    <w:rsid w:val="0082271C"/>
    <w:rsid w:val="00824A2C"/>
    <w:rsid w:val="008344A3"/>
    <w:rsid w:val="008377B5"/>
    <w:rsid w:val="008C1879"/>
    <w:rsid w:val="008D0D38"/>
    <w:rsid w:val="008E03B5"/>
    <w:rsid w:val="00935506"/>
    <w:rsid w:val="0098741A"/>
    <w:rsid w:val="009A5FFC"/>
    <w:rsid w:val="00A44D63"/>
    <w:rsid w:val="00A4621F"/>
    <w:rsid w:val="00A462BA"/>
    <w:rsid w:val="00A5166E"/>
    <w:rsid w:val="00A7043B"/>
    <w:rsid w:val="00A808A1"/>
    <w:rsid w:val="00A872F8"/>
    <w:rsid w:val="00AA380F"/>
    <w:rsid w:val="00AC50AF"/>
    <w:rsid w:val="00AF21D0"/>
    <w:rsid w:val="00B06325"/>
    <w:rsid w:val="00B20FB5"/>
    <w:rsid w:val="00B30C2A"/>
    <w:rsid w:val="00B864BE"/>
    <w:rsid w:val="00BA1C52"/>
    <w:rsid w:val="00BD7452"/>
    <w:rsid w:val="00BD7470"/>
    <w:rsid w:val="00BE7165"/>
    <w:rsid w:val="00C3290A"/>
    <w:rsid w:val="00C32926"/>
    <w:rsid w:val="00C47510"/>
    <w:rsid w:val="00C5298D"/>
    <w:rsid w:val="00C9027F"/>
    <w:rsid w:val="00CA3766"/>
    <w:rsid w:val="00CA581B"/>
    <w:rsid w:val="00CB4866"/>
    <w:rsid w:val="00CB66C4"/>
    <w:rsid w:val="00D05156"/>
    <w:rsid w:val="00D07449"/>
    <w:rsid w:val="00D11C52"/>
    <w:rsid w:val="00D2393C"/>
    <w:rsid w:val="00D25845"/>
    <w:rsid w:val="00D36C85"/>
    <w:rsid w:val="00D410FC"/>
    <w:rsid w:val="00D441B8"/>
    <w:rsid w:val="00D71485"/>
    <w:rsid w:val="00DA3E29"/>
    <w:rsid w:val="00DB1686"/>
    <w:rsid w:val="00E401FA"/>
    <w:rsid w:val="00ED38B7"/>
    <w:rsid w:val="00EE0D04"/>
    <w:rsid w:val="00EF6AC7"/>
    <w:rsid w:val="00F575EF"/>
    <w:rsid w:val="00F91FAF"/>
    <w:rsid w:val="00FC56BE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27F"/>
    <w:rPr>
      <w:rFonts w:ascii="Segoe UI" w:hAnsi="Segoe UI" w:cs="Segoe UI"/>
      <w:color w:val="00000A"/>
      <w:sz w:val="18"/>
      <w:szCs w:val="18"/>
      <w:lang w:val="uk-UA" w:eastAsia="uk-UA"/>
    </w:rPr>
  </w:style>
  <w:style w:type="paragraph" w:styleId="ad">
    <w:name w:val="List Paragraph"/>
    <w:basedOn w:val="a"/>
    <w:uiPriority w:val="34"/>
    <w:qFormat/>
    <w:rsid w:val="00B864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24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51</cp:revision>
  <cp:lastPrinted>2018-08-09T05:00:00Z</cp:lastPrinted>
  <dcterms:created xsi:type="dcterms:W3CDTF">2017-08-10T14:03:00Z</dcterms:created>
  <dcterms:modified xsi:type="dcterms:W3CDTF">2018-08-17T12:21:00Z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