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52" w:rsidRPr="00C72C2B" w:rsidRDefault="00152852" w:rsidP="00152852">
      <w:pPr>
        <w:rPr>
          <w:rFonts w:cs="Arial"/>
          <w:b/>
          <w:spacing w:val="20"/>
          <w:sz w:val="28"/>
          <w:szCs w:val="28"/>
          <w:lang w:val="uk-UA"/>
        </w:rPr>
      </w:pPr>
      <w:r w:rsidRPr="00C72C2B">
        <w:rPr>
          <w:rFonts w:cs="Arial"/>
          <w:b/>
          <w:spacing w:val="20"/>
          <w:sz w:val="28"/>
          <w:szCs w:val="28"/>
          <w:lang w:val="uk-UA"/>
        </w:rPr>
        <w:t xml:space="preserve">«Проект генерального плану забудови території </w:t>
      </w:r>
    </w:p>
    <w:p w:rsidR="00152852" w:rsidRPr="00C72C2B" w:rsidRDefault="00152852" w:rsidP="00152852">
      <w:pPr>
        <w:rPr>
          <w:rFonts w:cs="Arial"/>
          <w:b/>
          <w:spacing w:val="20"/>
          <w:sz w:val="28"/>
          <w:szCs w:val="28"/>
          <w:lang w:val="uk-UA"/>
        </w:rPr>
      </w:pPr>
      <w:proofErr w:type="spellStart"/>
      <w:r w:rsidRPr="00C72C2B">
        <w:rPr>
          <w:rFonts w:cs="Arial"/>
          <w:b/>
          <w:spacing w:val="20"/>
          <w:sz w:val="28"/>
          <w:szCs w:val="28"/>
          <w:lang w:val="uk-UA"/>
        </w:rPr>
        <w:t>смт.Нові</w:t>
      </w:r>
      <w:proofErr w:type="spellEnd"/>
      <w:r w:rsidRPr="00C72C2B">
        <w:rPr>
          <w:rFonts w:cs="Arial"/>
          <w:b/>
          <w:spacing w:val="20"/>
          <w:sz w:val="28"/>
          <w:szCs w:val="28"/>
          <w:lang w:val="uk-UA"/>
        </w:rPr>
        <w:t xml:space="preserve"> Санжари Полтавської обл.»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 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«Проект генерального плану забудови території смт. Нові Санжари Полтавської обл. 651,9га», розроблено відповідно з вимогами ДБН Б. 1.1. – 15:2012 «Склад та зміст генерального плану населеного пу</w:t>
      </w:r>
      <w:r w:rsidR="00F67767" w:rsidRPr="00C72C2B">
        <w:rPr>
          <w:sz w:val="28"/>
          <w:szCs w:val="28"/>
          <w:lang w:val="uk-UA"/>
        </w:rPr>
        <w:t>нкту, ст.19 закону України «Про</w:t>
      </w:r>
      <w:r w:rsidRPr="00C72C2B">
        <w:rPr>
          <w:sz w:val="28"/>
          <w:szCs w:val="28"/>
          <w:lang w:val="uk-UA"/>
        </w:rPr>
        <w:t xml:space="preserve"> регулювання  містобудівної  діяльності», згідно з завданням на проектування </w:t>
      </w:r>
      <w:r w:rsidRPr="00C72C2B">
        <w:rPr>
          <w:b/>
          <w:sz w:val="28"/>
          <w:szCs w:val="28"/>
          <w:lang w:val="uk-UA"/>
        </w:rPr>
        <w:t>Замовника</w:t>
      </w:r>
      <w:r w:rsidRPr="00C72C2B">
        <w:rPr>
          <w:sz w:val="28"/>
          <w:szCs w:val="28"/>
          <w:lang w:val="uk-UA"/>
        </w:rPr>
        <w:t xml:space="preserve"> –  </w:t>
      </w:r>
      <w:proofErr w:type="spellStart"/>
      <w:r w:rsidRPr="00C72C2B">
        <w:rPr>
          <w:b/>
          <w:sz w:val="28"/>
          <w:szCs w:val="28"/>
          <w:lang w:val="uk-UA"/>
        </w:rPr>
        <w:t>Новосанжарської</w:t>
      </w:r>
      <w:proofErr w:type="spellEnd"/>
      <w:r w:rsidRPr="00C72C2B">
        <w:rPr>
          <w:b/>
          <w:sz w:val="28"/>
          <w:szCs w:val="28"/>
          <w:lang w:val="uk-UA"/>
        </w:rPr>
        <w:t xml:space="preserve"> селищної ради</w:t>
      </w:r>
      <w:r w:rsidRPr="00C72C2B">
        <w:rPr>
          <w:sz w:val="28"/>
          <w:szCs w:val="28"/>
          <w:lang w:val="uk-UA"/>
        </w:rPr>
        <w:t xml:space="preserve">. 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Основні показники генерального плану смт. Нові Санжари були розраховані на етап 20 років з визначенням етапів: І етап – 10 років, </w:t>
      </w:r>
      <w:proofErr w:type="spellStart"/>
      <w:r w:rsidRPr="00C72C2B">
        <w:rPr>
          <w:sz w:val="28"/>
          <w:szCs w:val="28"/>
          <w:lang w:val="uk-UA"/>
        </w:rPr>
        <w:t>ІІ</w:t>
      </w:r>
      <w:proofErr w:type="spellEnd"/>
      <w:r w:rsidRPr="00C72C2B">
        <w:rPr>
          <w:sz w:val="28"/>
          <w:szCs w:val="28"/>
          <w:lang w:val="uk-UA"/>
        </w:rPr>
        <w:t xml:space="preserve"> етап – 20 років..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Необхідність розробки даної роботи викликана новою соціально-економічною ситуацією розвитку смт. Нові Санжари, потребою у територіях для подальшого містобудівного та соціально-економічного розвитку, розвитку </w:t>
      </w:r>
      <w:proofErr w:type="spellStart"/>
      <w:r w:rsidRPr="00C72C2B">
        <w:rPr>
          <w:sz w:val="28"/>
          <w:szCs w:val="28"/>
          <w:lang w:val="uk-UA"/>
        </w:rPr>
        <w:t>сельбищних</w:t>
      </w:r>
      <w:proofErr w:type="spellEnd"/>
      <w:r w:rsidRPr="00C72C2B">
        <w:rPr>
          <w:sz w:val="28"/>
          <w:szCs w:val="28"/>
          <w:lang w:val="uk-UA"/>
        </w:rPr>
        <w:t xml:space="preserve">, рекреаційних та виробничо-комунальних зон, транспортно-комунікаційних </w:t>
      </w:r>
      <w:proofErr w:type="spellStart"/>
      <w:r w:rsidR="00FC15A7">
        <w:rPr>
          <w:sz w:val="28"/>
          <w:szCs w:val="28"/>
          <w:lang w:val="uk-UA"/>
        </w:rPr>
        <w:t>з</w:t>
      </w:r>
      <w:r w:rsidR="00FC15A7" w:rsidRPr="00C72C2B">
        <w:rPr>
          <w:sz w:val="28"/>
          <w:szCs w:val="28"/>
          <w:lang w:val="uk-UA"/>
        </w:rPr>
        <w:t>в’язків</w:t>
      </w:r>
      <w:proofErr w:type="spellEnd"/>
      <w:r w:rsidRPr="00C72C2B">
        <w:rPr>
          <w:sz w:val="28"/>
          <w:szCs w:val="28"/>
          <w:lang w:val="uk-UA"/>
        </w:rPr>
        <w:t xml:space="preserve">. 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У проекті визначені:</w:t>
      </w:r>
    </w:p>
    <w:p w:rsidR="00152852" w:rsidRPr="00C72C2B" w:rsidRDefault="00152852" w:rsidP="0015285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сучасний стан та перспективи господарського комплексу селища міського типу;</w:t>
      </w:r>
    </w:p>
    <w:p w:rsidR="00152852" w:rsidRPr="00C72C2B" w:rsidRDefault="00152852" w:rsidP="0015285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прогноз чисельності та статевовікової структури населення;</w:t>
      </w:r>
    </w:p>
    <w:p w:rsidR="00152852" w:rsidRPr="00C72C2B" w:rsidRDefault="00152852" w:rsidP="0015285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обсяги та розміщення нового житлового будівництва;</w:t>
      </w:r>
    </w:p>
    <w:p w:rsidR="00152852" w:rsidRPr="00C72C2B" w:rsidRDefault="00152852" w:rsidP="0015285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інженерне обладнання території;</w:t>
      </w:r>
    </w:p>
    <w:p w:rsidR="00152852" w:rsidRPr="00C72C2B" w:rsidRDefault="00152852" w:rsidP="0015285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інженерна підготовка та захист території;</w:t>
      </w:r>
    </w:p>
    <w:p w:rsidR="00152852" w:rsidRPr="00C72C2B" w:rsidRDefault="00152852" w:rsidP="0015285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розвиток транспорту, </w:t>
      </w:r>
      <w:proofErr w:type="spellStart"/>
      <w:r w:rsidRPr="00C72C2B">
        <w:rPr>
          <w:sz w:val="28"/>
          <w:szCs w:val="28"/>
          <w:lang w:val="uk-UA"/>
        </w:rPr>
        <w:t>вулично-дорожна</w:t>
      </w:r>
      <w:proofErr w:type="spellEnd"/>
      <w:r w:rsidRPr="00C72C2B">
        <w:rPr>
          <w:sz w:val="28"/>
          <w:szCs w:val="28"/>
          <w:lang w:val="uk-UA"/>
        </w:rPr>
        <w:t xml:space="preserve"> мережа;</w:t>
      </w:r>
    </w:p>
    <w:p w:rsidR="00152852" w:rsidRPr="00C72C2B" w:rsidRDefault="00152852" w:rsidP="0015285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архітектурно-планувальна організація території;</w:t>
      </w:r>
    </w:p>
    <w:p w:rsidR="00152852" w:rsidRPr="00C72C2B" w:rsidRDefault="00152852" w:rsidP="0015285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заходи по охороні навколишнього середовища;  тощо.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При розробці генерального плану були враховані раніше розроблені проектні матеріали та програми, зокрема: </w:t>
      </w:r>
    </w:p>
    <w:p w:rsidR="00152852" w:rsidRPr="00C72C2B" w:rsidRDefault="00152852" w:rsidP="0015285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Схема планування території Полтавської області, 2012 р., затверджена шістнадцятою сесією Полтавської обласної ради шостого скликання від 23.05.2013 ( „</w:t>
      </w:r>
      <w:proofErr w:type="spellStart"/>
      <w:r w:rsidRPr="00C72C2B">
        <w:rPr>
          <w:sz w:val="28"/>
          <w:szCs w:val="28"/>
          <w:lang w:val="uk-UA"/>
        </w:rPr>
        <w:t>Діпромісто</w:t>
      </w:r>
      <w:proofErr w:type="spellEnd"/>
      <w:r w:rsidRPr="00C72C2B">
        <w:rPr>
          <w:sz w:val="28"/>
          <w:szCs w:val="28"/>
          <w:lang w:val="uk-UA"/>
        </w:rPr>
        <w:t>”);</w:t>
      </w:r>
    </w:p>
    <w:p w:rsidR="00152852" w:rsidRPr="00C72C2B" w:rsidRDefault="00152852" w:rsidP="0015285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Генеральній план смт. Нові Санжари, розроблений АТ «</w:t>
      </w:r>
      <w:proofErr w:type="spellStart"/>
      <w:r w:rsidRPr="00C72C2B">
        <w:rPr>
          <w:sz w:val="28"/>
          <w:szCs w:val="28"/>
          <w:lang w:val="uk-UA"/>
        </w:rPr>
        <w:t>Укрміськбудпроект</w:t>
      </w:r>
      <w:proofErr w:type="spellEnd"/>
      <w:r w:rsidRPr="00C72C2B">
        <w:rPr>
          <w:sz w:val="28"/>
          <w:szCs w:val="28"/>
          <w:lang w:val="uk-UA"/>
        </w:rPr>
        <w:t>», м. Харків у 1992 році;</w:t>
      </w:r>
    </w:p>
    <w:p w:rsidR="00152852" w:rsidRPr="00C72C2B" w:rsidRDefault="00152852" w:rsidP="0015285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Генеральній план смт. Нові Санжари, розроблений «</w:t>
      </w:r>
      <w:proofErr w:type="spellStart"/>
      <w:r w:rsidRPr="00C72C2B">
        <w:rPr>
          <w:sz w:val="28"/>
          <w:szCs w:val="28"/>
          <w:lang w:val="uk-UA"/>
        </w:rPr>
        <w:t>Укрміськбудпроект</w:t>
      </w:r>
      <w:proofErr w:type="spellEnd"/>
      <w:r w:rsidRPr="00C72C2B">
        <w:rPr>
          <w:sz w:val="28"/>
          <w:szCs w:val="28"/>
          <w:lang w:val="uk-UA"/>
        </w:rPr>
        <w:t>» у 1967 році.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Генеральний план розроблений відповідно діючих Державних будівельних норм України: 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ДБН Б. 1.1. – 15:2012 «Склад та зміст генерального плану населеного пункту»,</w:t>
      </w:r>
      <w:r w:rsidR="00FC15A7">
        <w:rPr>
          <w:sz w:val="28"/>
          <w:szCs w:val="28"/>
          <w:lang w:val="uk-UA"/>
        </w:rPr>
        <w:t xml:space="preserve"> </w:t>
      </w:r>
      <w:r w:rsidRPr="00C72C2B">
        <w:rPr>
          <w:sz w:val="28"/>
          <w:szCs w:val="28"/>
          <w:lang w:val="uk-UA"/>
        </w:rPr>
        <w:t>ДБН 360-92**. Містобудування. Планування і забудова міських і сільських поселень;</w:t>
      </w:r>
      <w:r w:rsidR="00FC15A7">
        <w:rPr>
          <w:sz w:val="28"/>
          <w:szCs w:val="28"/>
          <w:lang w:val="uk-UA"/>
        </w:rPr>
        <w:t xml:space="preserve"> </w:t>
      </w:r>
      <w:r w:rsidRPr="00C72C2B">
        <w:rPr>
          <w:sz w:val="28"/>
          <w:szCs w:val="28"/>
          <w:lang w:val="uk-UA"/>
        </w:rPr>
        <w:t>ДБН Б.2.4-3-95. Генеральні плани сільськогосподарських підприємств;</w:t>
      </w:r>
      <w:r w:rsidR="00FC15A7">
        <w:rPr>
          <w:sz w:val="28"/>
          <w:szCs w:val="28"/>
          <w:lang w:val="uk-UA"/>
        </w:rPr>
        <w:t xml:space="preserve"> </w:t>
      </w:r>
      <w:proofErr w:type="spellStart"/>
      <w:r w:rsidRPr="00C72C2B">
        <w:rPr>
          <w:sz w:val="28"/>
          <w:szCs w:val="28"/>
          <w:lang w:val="uk-UA"/>
        </w:rPr>
        <w:t>ДСП</w:t>
      </w:r>
      <w:proofErr w:type="spellEnd"/>
      <w:r w:rsidRPr="00C72C2B">
        <w:rPr>
          <w:sz w:val="28"/>
          <w:szCs w:val="28"/>
          <w:lang w:val="uk-UA"/>
        </w:rPr>
        <w:t xml:space="preserve"> №173-96 Державні санітарні правила планування та забудови населених пунктів;</w:t>
      </w:r>
      <w:r w:rsidR="00FC15A7">
        <w:rPr>
          <w:sz w:val="28"/>
          <w:szCs w:val="28"/>
          <w:lang w:val="uk-UA"/>
        </w:rPr>
        <w:t xml:space="preserve"> </w:t>
      </w:r>
      <w:r w:rsidRPr="00C72C2B">
        <w:rPr>
          <w:sz w:val="28"/>
          <w:szCs w:val="28"/>
          <w:lang w:val="uk-UA"/>
        </w:rPr>
        <w:t>ДБН Б. 1.1-5:2007 Склад, зміст, порядок розроблення, погодження та затвердження розділу інженерно-технічних заходів цивільного захисту (цивільної оборони) у містобудівній документації; та  інших нормативних документів.</w:t>
      </w:r>
      <w:bookmarkStart w:id="0" w:name="_Toc20109359"/>
      <w:bookmarkStart w:id="1" w:name="_Toc435996284"/>
      <w:bookmarkStart w:id="2" w:name="_Toc456727720"/>
    </w:p>
    <w:p w:rsidR="00152852" w:rsidRPr="00C72C2B" w:rsidRDefault="00152852" w:rsidP="0015285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C72C2B">
        <w:rPr>
          <w:rFonts w:ascii="Times New Roman" w:hAnsi="Times New Roman"/>
          <w:sz w:val="28"/>
          <w:szCs w:val="28"/>
          <w:lang w:val="uk-UA"/>
        </w:rPr>
        <w:lastRenderedPageBreak/>
        <w:t>ОСНОВНІ ПОЛОЖЕННЯ ГЕНЕРАЛЬНОГО ПЛАНУ.</w:t>
      </w:r>
      <w:bookmarkEnd w:id="0"/>
      <w:bookmarkEnd w:id="1"/>
      <w:bookmarkEnd w:id="2"/>
      <w:r w:rsidR="00F67767" w:rsidRPr="00C72C2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Toc435996285"/>
      <w:bookmarkStart w:id="4" w:name="_Toc456727721"/>
      <w:r w:rsidRPr="00C72C2B">
        <w:rPr>
          <w:rFonts w:ascii="Times New Roman" w:hAnsi="Times New Roman"/>
          <w:sz w:val="28"/>
          <w:szCs w:val="28"/>
          <w:lang w:val="uk-UA"/>
        </w:rPr>
        <w:t>НАПРЯМКИ МІСТОБУДІВНОГО РОЗВИТКУ С</w:t>
      </w:r>
      <w:bookmarkEnd w:id="3"/>
      <w:r w:rsidRPr="00C72C2B">
        <w:rPr>
          <w:rFonts w:ascii="Times New Roman" w:hAnsi="Times New Roman"/>
          <w:sz w:val="28"/>
          <w:szCs w:val="28"/>
          <w:lang w:val="uk-UA"/>
        </w:rPr>
        <w:t>МТ. НОВІ САНЖАРИ</w:t>
      </w:r>
      <w:bookmarkEnd w:id="4"/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Основними цілями територіального планування є створення сприятливого середовища життєдіяльності і сталого розвитку населеного пункту, забезпечення екологічної і техногенної безпеки, збереження природної і культурної спадщини.</w:t>
      </w:r>
    </w:p>
    <w:p w:rsidR="0005748A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Моделлю територіально-планувального розвитку смт. Нові Санжари передбачено подальший розвиток системи розселення – смт. Нові Санжари, </w:t>
      </w:r>
    </w:p>
    <w:p w:rsidR="00152852" w:rsidRPr="00C72C2B" w:rsidRDefault="00152852" w:rsidP="0005748A">
      <w:p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с. </w:t>
      </w:r>
      <w:proofErr w:type="spellStart"/>
      <w:r w:rsidRPr="00C72C2B">
        <w:rPr>
          <w:sz w:val="28"/>
          <w:szCs w:val="28"/>
          <w:lang w:val="uk-UA"/>
        </w:rPr>
        <w:t>Клюсівка</w:t>
      </w:r>
      <w:proofErr w:type="spellEnd"/>
      <w:r w:rsidRPr="00C72C2B">
        <w:rPr>
          <w:sz w:val="28"/>
          <w:szCs w:val="28"/>
          <w:lang w:val="uk-UA"/>
        </w:rPr>
        <w:t xml:space="preserve">, </w:t>
      </w:r>
      <w:r w:rsidR="0005748A" w:rsidRPr="00C72C2B">
        <w:rPr>
          <w:sz w:val="28"/>
          <w:szCs w:val="28"/>
          <w:lang w:val="uk-UA"/>
        </w:rPr>
        <w:t xml:space="preserve">с. </w:t>
      </w:r>
      <w:r w:rsidRPr="00C72C2B">
        <w:rPr>
          <w:sz w:val="28"/>
          <w:szCs w:val="28"/>
          <w:lang w:val="uk-UA"/>
        </w:rPr>
        <w:t xml:space="preserve">Зачепилівка, </w:t>
      </w:r>
      <w:r w:rsidR="0005748A" w:rsidRPr="00C72C2B">
        <w:rPr>
          <w:sz w:val="28"/>
          <w:szCs w:val="28"/>
          <w:lang w:val="uk-UA"/>
        </w:rPr>
        <w:t xml:space="preserve">с. </w:t>
      </w:r>
      <w:proofErr w:type="spellStart"/>
      <w:r w:rsidRPr="00C72C2B">
        <w:rPr>
          <w:sz w:val="28"/>
          <w:szCs w:val="28"/>
          <w:lang w:val="uk-UA"/>
        </w:rPr>
        <w:t>Лелюхівка</w:t>
      </w:r>
      <w:proofErr w:type="spellEnd"/>
      <w:r w:rsidRPr="00C72C2B">
        <w:rPr>
          <w:sz w:val="28"/>
          <w:szCs w:val="28"/>
          <w:lang w:val="uk-UA"/>
        </w:rPr>
        <w:t>, проектом враховані потреби усіх мешканців даної системи розселення у об’єктах обслуговування, також передбачено удосконалити систему інженерно-технічного облаштування території, формування курорту місцевого значення.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Природна територія смт Нові Санжари та с. </w:t>
      </w:r>
      <w:proofErr w:type="spellStart"/>
      <w:r w:rsidRPr="00C72C2B">
        <w:rPr>
          <w:sz w:val="28"/>
          <w:szCs w:val="28"/>
          <w:lang w:val="uk-UA"/>
        </w:rPr>
        <w:t>Клюсівка</w:t>
      </w:r>
      <w:proofErr w:type="spellEnd"/>
      <w:r w:rsidRPr="00C72C2B">
        <w:rPr>
          <w:sz w:val="28"/>
          <w:szCs w:val="28"/>
          <w:lang w:val="uk-UA"/>
        </w:rPr>
        <w:t xml:space="preserve"> має мінеральні води, можливе </w:t>
      </w:r>
      <w:r w:rsidR="00FC15A7">
        <w:rPr>
          <w:sz w:val="28"/>
          <w:szCs w:val="28"/>
          <w:lang w:val="uk-UA"/>
        </w:rPr>
        <w:t>застосування лікувальних грязей, к</w:t>
      </w:r>
      <w:r w:rsidRPr="00C72C2B">
        <w:rPr>
          <w:sz w:val="28"/>
          <w:szCs w:val="28"/>
          <w:lang w:val="uk-UA"/>
        </w:rPr>
        <w:t xml:space="preserve">ліматичні та інші природні умови, сприятливі для лікування, медичної реабілітації та профілактики захворювань, рекреації населення. Природна територія освоєна, має необхідні будівлі та споруди з об’єктами інфраструктури для експлуатації природних лікувальних ресурсів, використання з метою лікування, медичної реабілітації, профілактики захворювань та для рекреації, проведені відповідні дослідження цієї території Українським НДІ </w:t>
      </w:r>
      <w:proofErr w:type="spellStart"/>
      <w:r w:rsidR="00051D80" w:rsidRPr="00C72C2B">
        <w:rPr>
          <w:sz w:val="28"/>
          <w:szCs w:val="28"/>
          <w:lang w:val="uk-UA"/>
        </w:rPr>
        <w:t>медреабілітації</w:t>
      </w:r>
      <w:proofErr w:type="spellEnd"/>
      <w:r w:rsidR="00051D80" w:rsidRPr="00C72C2B">
        <w:rPr>
          <w:sz w:val="28"/>
          <w:szCs w:val="28"/>
          <w:lang w:val="uk-UA"/>
        </w:rPr>
        <w:t xml:space="preserve"> та курортології м.</w:t>
      </w:r>
      <w:r w:rsidR="00FC15A7">
        <w:rPr>
          <w:sz w:val="28"/>
          <w:szCs w:val="28"/>
          <w:lang w:val="uk-UA"/>
        </w:rPr>
        <w:t xml:space="preserve"> </w:t>
      </w:r>
      <w:r w:rsidR="00051D80" w:rsidRPr="00C72C2B">
        <w:rPr>
          <w:sz w:val="28"/>
          <w:szCs w:val="28"/>
          <w:lang w:val="uk-UA"/>
        </w:rPr>
        <w:t>Одеса (2006р.),</w:t>
      </w:r>
      <w:r w:rsidRPr="00C72C2B">
        <w:rPr>
          <w:sz w:val="28"/>
          <w:szCs w:val="28"/>
          <w:lang w:val="uk-UA"/>
        </w:rPr>
        <w:t xml:space="preserve"> та зроблений висновок, що природна територія смт Нові Санжари та с. </w:t>
      </w:r>
      <w:proofErr w:type="spellStart"/>
      <w:r w:rsidRPr="00C72C2B">
        <w:rPr>
          <w:sz w:val="28"/>
          <w:szCs w:val="28"/>
          <w:lang w:val="uk-UA"/>
        </w:rPr>
        <w:t>Клюсівка</w:t>
      </w:r>
      <w:proofErr w:type="spellEnd"/>
      <w:r w:rsidRPr="00C72C2B">
        <w:rPr>
          <w:sz w:val="28"/>
          <w:szCs w:val="28"/>
          <w:lang w:val="uk-UA"/>
        </w:rPr>
        <w:t xml:space="preserve"> </w:t>
      </w:r>
      <w:proofErr w:type="spellStart"/>
      <w:r w:rsidRPr="00C72C2B">
        <w:rPr>
          <w:sz w:val="28"/>
          <w:szCs w:val="28"/>
          <w:lang w:val="uk-UA"/>
        </w:rPr>
        <w:t>Новосанжарської</w:t>
      </w:r>
      <w:proofErr w:type="spellEnd"/>
      <w:r w:rsidRPr="00C72C2B">
        <w:rPr>
          <w:sz w:val="28"/>
          <w:szCs w:val="28"/>
          <w:lang w:val="uk-UA"/>
        </w:rPr>
        <w:t xml:space="preserve"> селищної ради Полтавської області відповідає вимогам Закону України «Про курорти» щодо надання їй статусу курорту місцевого значення.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При розробці загальної концепції соціального і територіального розвитку Нових Санжар:</w:t>
      </w:r>
    </w:p>
    <w:p w:rsidR="00152852" w:rsidRPr="00C72C2B" w:rsidRDefault="00152852" w:rsidP="0015285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намічаються заходи щодо удосконалення розселення і організації системи культурно-побутового обслуговування, розвитку транспортних та інженерних комунікацій з розрахунком місткості, потужності і обґрунтуванням розміщення відповідних об'єктів;</w:t>
      </w:r>
    </w:p>
    <w:p w:rsidR="00152852" w:rsidRPr="00C72C2B" w:rsidRDefault="00152852" w:rsidP="0015285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прогнозується проектна кількість населення;</w:t>
      </w:r>
    </w:p>
    <w:p w:rsidR="00152852" w:rsidRPr="00C72C2B" w:rsidRDefault="00152852" w:rsidP="0015285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визначаються перспективи розвитку і раціональне розміщення виробничих підприємств і об'єктів агропромислового комплексу;</w:t>
      </w:r>
    </w:p>
    <w:p w:rsidR="00152852" w:rsidRPr="00C72C2B" w:rsidRDefault="00152852" w:rsidP="0015285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передбачаються заходи з охорони навколишнього середовища.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bookmarkStart w:id="5" w:name="_Toc124312446"/>
      <w:bookmarkStart w:id="6" w:name="_Toc124312825"/>
      <w:r w:rsidRPr="00C72C2B">
        <w:rPr>
          <w:sz w:val="28"/>
          <w:szCs w:val="28"/>
          <w:lang w:val="uk-UA"/>
        </w:rPr>
        <w:t xml:space="preserve">З метою забезпечення більш ефективного використання земель населеного пункту і створення сприятливих умов для проживання генеральним планом передбачається організація наступних функціональних зон: громадського обслуговування - системи громадського центру </w:t>
      </w:r>
      <w:r w:rsidR="00FC15A7">
        <w:rPr>
          <w:sz w:val="28"/>
          <w:szCs w:val="28"/>
          <w:lang w:val="uk-UA"/>
        </w:rPr>
        <w:t xml:space="preserve">смт. </w:t>
      </w:r>
      <w:r w:rsidRPr="00C72C2B">
        <w:rPr>
          <w:sz w:val="28"/>
          <w:szCs w:val="28"/>
          <w:lang w:val="uk-UA"/>
        </w:rPr>
        <w:t>Н</w:t>
      </w:r>
      <w:r w:rsidR="00FC15A7">
        <w:rPr>
          <w:sz w:val="28"/>
          <w:szCs w:val="28"/>
          <w:lang w:val="uk-UA"/>
        </w:rPr>
        <w:t>ові</w:t>
      </w:r>
      <w:r w:rsidRPr="00C72C2B">
        <w:rPr>
          <w:sz w:val="28"/>
          <w:szCs w:val="28"/>
          <w:lang w:val="uk-UA"/>
        </w:rPr>
        <w:t xml:space="preserve"> Санжар</w:t>
      </w:r>
      <w:r w:rsidR="00FC15A7">
        <w:rPr>
          <w:sz w:val="28"/>
          <w:szCs w:val="28"/>
          <w:lang w:val="uk-UA"/>
        </w:rPr>
        <w:t>и</w:t>
      </w:r>
      <w:r w:rsidRPr="00C72C2B">
        <w:rPr>
          <w:sz w:val="28"/>
          <w:szCs w:val="28"/>
          <w:lang w:val="uk-UA"/>
        </w:rPr>
        <w:t xml:space="preserve"> (головного центру та </w:t>
      </w:r>
      <w:proofErr w:type="spellStart"/>
      <w:r w:rsidRPr="00C72C2B">
        <w:rPr>
          <w:sz w:val="28"/>
          <w:szCs w:val="28"/>
          <w:lang w:val="uk-UA"/>
        </w:rPr>
        <w:t>підцентрів</w:t>
      </w:r>
      <w:proofErr w:type="spellEnd"/>
      <w:r w:rsidRPr="00C72C2B">
        <w:rPr>
          <w:sz w:val="28"/>
          <w:szCs w:val="28"/>
          <w:lang w:val="uk-UA"/>
        </w:rPr>
        <w:t xml:space="preserve">); житлової; промислово-складської; </w:t>
      </w:r>
      <w:proofErr w:type="spellStart"/>
      <w:r w:rsidRPr="00C72C2B">
        <w:rPr>
          <w:sz w:val="28"/>
          <w:szCs w:val="28"/>
          <w:lang w:val="uk-UA"/>
        </w:rPr>
        <w:t>ландшафтно</w:t>
      </w:r>
      <w:proofErr w:type="spellEnd"/>
      <w:r w:rsidRPr="00C72C2B">
        <w:rPr>
          <w:sz w:val="28"/>
          <w:szCs w:val="28"/>
          <w:lang w:val="uk-UA"/>
        </w:rPr>
        <w:t>-рекреаційної; транспортно-комунікаційної</w:t>
      </w:r>
      <w:r w:rsidR="00FC15A7">
        <w:rPr>
          <w:sz w:val="28"/>
          <w:szCs w:val="28"/>
          <w:lang w:val="uk-UA"/>
        </w:rPr>
        <w:t>, комунальної</w:t>
      </w:r>
      <w:r w:rsidRPr="00C72C2B">
        <w:rPr>
          <w:sz w:val="28"/>
          <w:szCs w:val="28"/>
          <w:lang w:val="uk-UA"/>
        </w:rPr>
        <w:t>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У зв’язку з цим в основу територіального упорядкування та розширення території селища покладена ідея формування планувального каркаса на основі реорганізації та розвитку </w:t>
      </w:r>
      <w:proofErr w:type="spellStart"/>
      <w:r w:rsidRPr="00C72C2B">
        <w:rPr>
          <w:sz w:val="28"/>
          <w:szCs w:val="28"/>
          <w:lang w:val="uk-UA"/>
        </w:rPr>
        <w:t>вулично</w:t>
      </w:r>
      <w:proofErr w:type="spellEnd"/>
      <w:r w:rsidRPr="00C72C2B">
        <w:rPr>
          <w:sz w:val="28"/>
          <w:szCs w:val="28"/>
          <w:lang w:val="uk-UA"/>
        </w:rPr>
        <w:t>-дорожньої мережі відповідно до сучасних вимог і перспективної інтенсивності руху пасажирського і легкового транспорту.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lastRenderedPageBreak/>
        <w:t xml:space="preserve">Згідно з проблемним рішенням, роль такого каркасу будуть виконувати головні вулиці, що проходять по основним </w:t>
      </w:r>
      <w:proofErr w:type="spellStart"/>
      <w:r w:rsidRPr="00C72C2B">
        <w:rPr>
          <w:sz w:val="28"/>
          <w:szCs w:val="28"/>
          <w:lang w:val="uk-UA"/>
        </w:rPr>
        <w:t>вісям</w:t>
      </w:r>
      <w:proofErr w:type="spellEnd"/>
      <w:r w:rsidRPr="00C72C2B">
        <w:rPr>
          <w:sz w:val="28"/>
          <w:szCs w:val="28"/>
          <w:lang w:val="uk-UA"/>
        </w:rPr>
        <w:t xml:space="preserve"> функціональної діяльності селища, а саме: вул. Центральна, Незалежності, Шевченка – існуючі головні вулиці селища. Проектом передбачено реконструкцію цих вулиць, яка має включати розширення смуг руху транспорту до нормативних вимог, улаштуванням велосипедних доріжок та тротуарів, прокладання нових житлових вулиць у кварталах запроектованої житлової забудови.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Система громадського центру розглядається генеральним планом як просторова  структура і складається із загально селищного громадського центру, центрів мікрорайонів та спеціалізованих центрів – лікувального, спортивного, учбового, торговельного, ін.</w:t>
      </w:r>
    </w:p>
    <w:p w:rsidR="00152852" w:rsidRPr="00C72C2B" w:rsidRDefault="00152852" w:rsidP="00152852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C72C2B">
        <w:rPr>
          <w:i/>
          <w:sz w:val="28"/>
          <w:szCs w:val="28"/>
          <w:u w:val="single"/>
          <w:lang w:val="uk-UA"/>
        </w:rPr>
        <w:t>Проектними рішеннями передбачаються основні заходи щодо організації і функціонування селищного центра:</w:t>
      </w:r>
    </w:p>
    <w:p w:rsidR="00152852" w:rsidRPr="00C72C2B" w:rsidRDefault="00152852" w:rsidP="0015285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розширення меж населеного пункту;</w:t>
      </w:r>
    </w:p>
    <w:p w:rsidR="00152852" w:rsidRPr="00C72C2B" w:rsidRDefault="00152852" w:rsidP="0015285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функціональне впорядкування території;</w:t>
      </w:r>
    </w:p>
    <w:p w:rsidR="00152852" w:rsidRPr="00C72C2B" w:rsidRDefault="00152852" w:rsidP="0015285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доповнення об’єктами громадського обслуговування, згідно розрахунків;</w:t>
      </w:r>
    </w:p>
    <w:p w:rsidR="00152852" w:rsidRPr="00C72C2B" w:rsidRDefault="00152852" w:rsidP="0015285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диференціація руху транспорту і пішоходів;</w:t>
      </w:r>
    </w:p>
    <w:p w:rsidR="00152852" w:rsidRPr="00C72C2B" w:rsidRDefault="00152852" w:rsidP="00152852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C72C2B">
        <w:rPr>
          <w:i/>
          <w:sz w:val="28"/>
          <w:szCs w:val="28"/>
          <w:u w:val="single"/>
          <w:lang w:val="uk-UA"/>
        </w:rPr>
        <w:t>Заходи по функціонально-планувальній організації смт. Нові Санжари:</w:t>
      </w:r>
    </w:p>
    <w:p w:rsidR="00152852" w:rsidRPr="00C72C2B" w:rsidRDefault="00152852" w:rsidP="0015285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упорядкування, благоустрій та розвиток мережі вулиць і проїздів;</w:t>
      </w:r>
    </w:p>
    <w:p w:rsidR="00152852" w:rsidRPr="00C72C2B" w:rsidRDefault="00152852" w:rsidP="0015285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удосконалення маршрутів громадського транспорту (автобуси, маршрутні таксі).</w:t>
      </w:r>
    </w:p>
    <w:p w:rsidR="00152852" w:rsidRPr="00C72C2B" w:rsidRDefault="00152852" w:rsidP="0015285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озеленення внутрішньо-квартальних територій;</w:t>
      </w:r>
    </w:p>
    <w:p w:rsidR="00152852" w:rsidRPr="00C72C2B" w:rsidRDefault="00152852" w:rsidP="0015285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впорядкування структурної організації та розвиток виробничої зони – формування промвузлів із підприємств переробки с/г продукції в існуючих </w:t>
      </w:r>
      <w:proofErr w:type="spellStart"/>
      <w:r w:rsidRPr="00C72C2B">
        <w:rPr>
          <w:sz w:val="28"/>
          <w:szCs w:val="28"/>
          <w:lang w:val="uk-UA"/>
        </w:rPr>
        <w:t>промрайонах</w:t>
      </w:r>
      <w:proofErr w:type="spellEnd"/>
      <w:r w:rsidRPr="00C72C2B">
        <w:rPr>
          <w:sz w:val="28"/>
          <w:szCs w:val="28"/>
          <w:lang w:val="uk-UA"/>
        </w:rPr>
        <w:t>;</w:t>
      </w:r>
    </w:p>
    <w:p w:rsidR="00152852" w:rsidRPr="00C72C2B" w:rsidRDefault="00152852" w:rsidP="0015285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формування комунально-складської зони;</w:t>
      </w:r>
    </w:p>
    <w:p w:rsidR="00152852" w:rsidRPr="00C72C2B" w:rsidRDefault="00152852" w:rsidP="0015285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відновлення та розширення рекреаційної зони вздовж берега </w:t>
      </w:r>
      <w:proofErr w:type="spellStart"/>
      <w:r w:rsidRPr="00C72C2B">
        <w:rPr>
          <w:sz w:val="28"/>
          <w:szCs w:val="28"/>
          <w:lang w:val="uk-UA"/>
        </w:rPr>
        <w:t>р.Ворскла</w:t>
      </w:r>
      <w:proofErr w:type="spellEnd"/>
      <w:r w:rsidRPr="00C72C2B">
        <w:rPr>
          <w:sz w:val="28"/>
          <w:szCs w:val="28"/>
          <w:lang w:val="uk-UA"/>
        </w:rPr>
        <w:t xml:space="preserve"> та </w:t>
      </w:r>
      <w:proofErr w:type="spellStart"/>
      <w:r w:rsidRPr="00C72C2B">
        <w:rPr>
          <w:sz w:val="28"/>
          <w:szCs w:val="28"/>
          <w:lang w:val="uk-UA"/>
        </w:rPr>
        <w:t>р.Ворона</w:t>
      </w:r>
      <w:proofErr w:type="spellEnd"/>
      <w:r w:rsidRPr="00C72C2B">
        <w:rPr>
          <w:sz w:val="28"/>
          <w:szCs w:val="28"/>
          <w:lang w:val="uk-UA"/>
        </w:rPr>
        <w:t xml:space="preserve"> </w:t>
      </w:r>
      <w:r w:rsidR="00FC15A7">
        <w:rPr>
          <w:sz w:val="28"/>
          <w:szCs w:val="28"/>
          <w:lang w:val="uk-UA"/>
        </w:rPr>
        <w:t xml:space="preserve">та </w:t>
      </w:r>
      <w:r w:rsidRPr="00C72C2B">
        <w:rPr>
          <w:sz w:val="28"/>
          <w:szCs w:val="28"/>
          <w:lang w:val="uk-UA"/>
        </w:rPr>
        <w:t>на території лісопарку;</w:t>
      </w:r>
    </w:p>
    <w:p w:rsidR="00152852" w:rsidRPr="00C72C2B" w:rsidRDefault="00152852" w:rsidP="0015285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реконструкцію системи озеленення з формуванням озеленених територій спеціального призначення (санітарно-захисних зон у межах санітарних розривів від промислових підприємств до </w:t>
      </w:r>
      <w:proofErr w:type="spellStart"/>
      <w:r w:rsidRPr="00C72C2B">
        <w:rPr>
          <w:sz w:val="28"/>
          <w:szCs w:val="28"/>
          <w:lang w:val="uk-UA"/>
        </w:rPr>
        <w:t>сельбищної</w:t>
      </w:r>
      <w:proofErr w:type="spellEnd"/>
      <w:r w:rsidRPr="00C72C2B">
        <w:rPr>
          <w:sz w:val="28"/>
          <w:szCs w:val="28"/>
          <w:lang w:val="uk-UA"/>
        </w:rPr>
        <w:t xml:space="preserve"> зони);</w:t>
      </w:r>
    </w:p>
    <w:p w:rsidR="00152852" w:rsidRPr="00C72C2B" w:rsidRDefault="00152852" w:rsidP="0015285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розширення території </w:t>
      </w:r>
      <w:proofErr w:type="spellStart"/>
      <w:r w:rsidRPr="00C72C2B">
        <w:rPr>
          <w:sz w:val="28"/>
          <w:szCs w:val="28"/>
          <w:lang w:val="uk-UA"/>
        </w:rPr>
        <w:t>смт.Нові</w:t>
      </w:r>
      <w:proofErr w:type="spellEnd"/>
      <w:r w:rsidRPr="00C72C2B">
        <w:rPr>
          <w:sz w:val="28"/>
          <w:szCs w:val="28"/>
          <w:lang w:val="uk-UA"/>
        </w:rPr>
        <w:t xml:space="preserve"> Санжари.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Проектом передбачено збільшення території смт. Нові Санжари на 213 га (існуючий стан – 651.9 га, проектне рішення – 865 га).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Розвиток </w:t>
      </w:r>
      <w:proofErr w:type="spellStart"/>
      <w:r w:rsidRPr="00C72C2B">
        <w:rPr>
          <w:sz w:val="28"/>
          <w:szCs w:val="28"/>
          <w:lang w:val="uk-UA"/>
        </w:rPr>
        <w:t>сельбищної</w:t>
      </w:r>
      <w:proofErr w:type="spellEnd"/>
      <w:r w:rsidRPr="00C72C2B">
        <w:rPr>
          <w:sz w:val="28"/>
          <w:szCs w:val="28"/>
          <w:lang w:val="uk-UA"/>
        </w:rPr>
        <w:t xml:space="preserve"> зони передбачається за рахунок резервних територій та розширення фактичних меж населеного пункту.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Потребу в територіях під садибне будівництво передбачено забезпечити за рахунок територій у південній, північній та західній частині.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Генеральним планом передбачені значні обсяги садибного будівництва -  305 садиб та 60 квартир у секційній житловій забудові на І етап та 290 садиб на розрахунковий період.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lastRenderedPageBreak/>
        <w:t xml:space="preserve">Виробничо-складська зона смт. Нові Санжари сформована з виробничих і комунально-складських об’єктів, які сконцентровані в </w:t>
      </w:r>
      <w:proofErr w:type="spellStart"/>
      <w:r w:rsidRPr="00C72C2B">
        <w:rPr>
          <w:sz w:val="28"/>
          <w:szCs w:val="28"/>
          <w:lang w:val="uk-UA"/>
        </w:rPr>
        <w:t>промрайонах</w:t>
      </w:r>
      <w:proofErr w:type="spellEnd"/>
      <w:r w:rsidRPr="00C72C2B">
        <w:rPr>
          <w:sz w:val="28"/>
          <w:szCs w:val="28"/>
          <w:lang w:val="uk-UA"/>
        </w:rPr>
        <w:t xml:space="preserve"> та промвузлах.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Разом з тим проектними рішеннями встановлені санітарно-захисні зони від виробничих і комунально-складських об’єктів, уточнені межі їх </w:t>
      </w:r>
      <w:proofErr w:type="spellStart"/>
      <w:r w:rsidRPr="00C72C2B">
        <w:rPr>
          <w:sz w:val="28"/>
          <w:szCs w:val="28"/>
          <w:lang w:val="uk-UA"/>
        </w:rPr>
        <w:t>планувально</w:t>
      </w:r>
      <w:proofErr w:type="spellEnd"/>
      <w:r w:rsidRPr="00C72C2B">
        <w:rPr>
          <w:sz w:val="28"/>
          <w:szCs w:val="28"/>
          <w:lang w:val="uk-UA"/>
        </w:rPr>
        <w:t>-територіальних утворень, намічені еколого-містобудівні заходи щодо оздоровлення навколишнього середовища.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Удосконалення системи культурно-побутового обслуговування населення – подальший розвиток загальноміськ</w:t>
      </w:r>
      <w:r w:rsidR="00535838" w:rsidRPr="00C72C2B">
        <w:rPr>
          <w:sz w:val="28"/>
          <w:szCs w:val="28"/>
          <w:lang w:val="uk-UA"/>
        </w:rPr>
        <w:t>ого центру (вул. Незалежності, Ц</w:t>
      </w:r>
      <w:r w:rsidRPr="00C72C2B">
        <w:rPr>
          <w:sz w:val="28"/>
          <w:szCs w:val="28"/>
          <w:lang w:val="uk-UA"/>
        </w:rPr>
        <w:t xml:space="preserve">ентральна), розвиток функціональної та композиційної </w:t>
      </w:r>
      <w:proofErr w:type="spellStart"/>
      <w:r w:rsidRPr="00C72C2B">
        <w:rPr>
          <w:sz w:val="28"/>
          <w:szCs w:val="28"/>
          <w:lang w:val="uk-UA"/>
        </w:rPr>
        <w:t>вісі</w:t>
      </w:r>
      <w:proofErr w:type="spellEnd"/>
      <w:r w:rsidRPr="00C72C2B">
        <w:rPr>
          <w:sz w:val="28"/>
          <w:szCs w:val="28"/>
          <w:lang w:val="uk-UA"/>
        </w:rPr>
        <w:t xml:space="preserve"> - вул. Центральна з композиційним завершенням – будівництвом нового </w:t>
      </w:r>
      <w:r w:rsidR="00FC15A7">
        <w:rPr>
          <w:sz w:val="28"/>
          <w:szCs w:val="28"/>
          <w:lang w:val="uk-UA"/>
        </w:rPr>
        <w:t>культурно-розважального</w:t>
      </w:r>
      <w:r w:rsidRPr="00C72C2B">
        <w:rPr>
          <w:sz w:val="28"/>
          <w:szCs w:val="28"/>
          <w:lang w:val="uk-UA"/>
        </w:rPr>
        <w:t xml:space="preserve"> центру (вул. Центральна, </w:t>
      </w:r>
      <w:proofErr w:type="spellStart"/>
      <w:r w:rsidRPr="00C72C2B">
        <w:rPr>
          <w:sz w:val="28"/>
          <w:szCs w:val="28"/>
          <w:lang w:val="uk-UA"/>
        </w:rPr>
        <w:t>Маджарянська</w:t>
      </w:r>
      <w:proofErr w:type="spellEnd"/>
      <w:r w:rsidRPr="00C72C2B">
        <w:rPr>
          <w:sz w:val="28"/>
          <w:szCs w:val="28"/>
          <w:lang w:val="uk-UA"/>
        </w:rPr>
        <w:t xml:space="preserve">); будівництво закладів дошкільного виховання та шкіл на території запроектованого мікрорайону у північній частині селища та у кварталах проектної житлової забудови; будівництво закладів повсякденного торговельно-побутового обслуговування та громадського харчування на території проектної </w:t>
      </w:r>
      <w:r w:rsidR="00FC15A7">
        <w:rPr>
          <w:sz w:val="28"/>
          <w:szCs w:val="28"/>
          <w:lang w:val="uk-UA"/>
        </w:rPr>
        <w:t xml:space="preserve">житлової </w:t>
      </w:r>
      <w:r w:rsidRPr="00C72C2B">
        <w:rPr>
          <w:sz w:val="28"/>
          <w:szCs w:val="28"/>
          <w:lang w:val="uk-UA"/>
        </w:rPr>
        <w:t>забудови.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72C2B">
        <w:rPr>
          <w:sz w:val="28"/>
          <w:szCs w:val="28"/>
          <w:lang w:val="uk-UA"/>
        </w:rPr>
        <w:t>Ландшафтно</w:t>
      </w:r>
      <w:proofErr w:type="spellEnd"/>
      <w:r w:rsidRPr="00C72C2B">
        <w:rPr>
          <w:sz w:val="28"/>
          <w:szCs w:val="28"/>
          <w:lang w:val="uk-UA"/>
        </w:rPr>
        <w:t>-рекреаційна зона формується на основі існуючих зелених насаджень загального користування і створення нових зон відпочинку.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Відповідно до розрахунків, смт. Нові Санжари має достатню площу територій для формування озеленених територій загального користування.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Генеральним планом пропонується виконати благоустрій і озеленення лісопарку, фізкультурно-спортивної зони, благоустрій скверів та влаштування куточків відпочинку та дитячих майданчиків у існуючих та у нових запроектованих житлових кварталах.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Враховуючи значний потенціал природно-лікувальних та рекреаційних ресурсів: мінеральних вод та грязей; рекреаційних лісів, парків, лісопарків, рекреаційних територій вздовж берегів р. Ворскла, пляжів, проектом передбачено розвиток ре</w:t>
      </w:r>
      <w:r w:rsidR="00FC15A7">
        <w:rPr>
          <w:sz w:val="28"/>
          <w:szCs w:val="28"/>
          <w:lang w:val="uk-UA"/>
        </w:rPr>
        <w:t>креаційної системи Нових Санжар -</w:t>
      </w:r>
      <w:r w:rsidRPr="00C72C2B">
        <w:rPr>
          <w:sz w:val="28"/>
          <w:szCs w:val="28"/>
          <w:lang w:val="uk-UA"/>
        </w:rPr>
        <w:t xml:space="preserve"> будівництво об’єктів як короткочасного, так і довготривалого відпочинку. Території для розміщення нових курортно-оздоровчих закладів складають 5,72 га.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Особлива увага в проекті приділена території вздовж берегів річки Ворскла та Ворона в південній частині </w:t>
      </w:r>
      <w:r w:rsidRPr="00C72C2B">
        <w:rPr>
          <w:color w:val="000000"/>
          <w:sz w:val="28"/>
          <w:szCs w:val="28"/>
          <w:lang w:val="uk-UA"/>
        </w:rPr>
        <w:t xml:space="preserve">та </w:t>
      </w:r>
      <w:r w:rsidRPr="00C72C2B">
        <w:rPr>
          <w:sz w:val="28"/>
          <w:szCs w:val="28"/>
          <w:lang w:val="uk-UA"/>
        </w:rPr>
        <w:t>пропонується благоустрій території, будівництво курортно - рекреаційних об’єктів.</w:t>
      </w:r>
    </w:p>
    <w:p w:rsidR="00152852" w:rsidRPr="00C72C2B" w:rsidRDefault="00152852" w:rsidP="00152852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bookmarkStart w:id="7" w:name="_Toc124312449"/>
      <w:bookmarkStart w:id="8" w:name="_Toc124312828"/>
      <w:bookmarkStart w:id="9" w:name="_Toc218342680"/>
      <w:bookmarkEnd w:id="5"/>
      <w:bookmarkEnd w:id="6"/>
      <w:r w:rsidRPr="00C72C2B">
        <w:rPr>
          <w:i/>
          <w:sz w:val="28"/>
          <w:szCs w:val="28"/>
          <w:u w:val="single"/>
          <w:lang w:val="uk-UA"/>
        </w:rPr>
        <w:t>Об’єкти комунального господарства</w:t>
      </w:r>
    </w:p>
    <w:bookmarkEnd w:id="7"/>
    <w:bookmarkEnd w:id="8"/>
    <w:bookmarkEnd w:id="9"/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Проектом передбачено удосконалити існуючу систему функціонування об’єктів комунального господарства на рівні первинної системи розселення – </w:t>
      </w:r>
      <w:proofErr w:type="spellStart"/>
      <w:r w:rsidRPr="00C72C2B">
        <w:rPr>
          <w:sz w:val="28"/>
          <w:szCs w:val="28"/>
          <w:lang w:val="uk-UA"/>
        </w:rPr>
        <w:t>Новосанжарської</w:t>
      </w:r>
      <w:proofErr w:type="spellEnd"/>
      <w:r w:rsidRPr="00C72C2B">
        <w:rPr>
          <w:sz w:val="28"/>
          <w:szCs w:val="28"/>
          <w:lang w:val="uk-UA"/>
        </w:rPr>
        <w:t xml:space="preserve"> селищної ради з урахуванням кількісних показників населення на перший етап та розрахунковий період, а саме:</w:t>
      </w:r>
    </w:p>
    <w:p w:rsidR="00152852" w:rsidRPr="00C72C2B" w:rsidRDefault="00152852" w:rsidP="0015285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облаштування нового кладовища (прощею 6 га) у північній частині селища (в проектних межах населеного пункту) (раніше розроблений робочий проект «Будівництво кладовища в смт. Нові Санжари </w:t>
      </w:r>
      <w:proofErr w:type="spellStart"/>
      <w:r w:rsidRPr="00C72C2B">
        <w:rPr>
          <w:sz w:val="28"/>
          <w:szCs w:val="28"/>
          <w:lang w:val="uk-UA"/>
        </w:rPr>
        <w:t>Новосанжарського</w:t>
      </w:r>
      <w:proofErr w:type="spellEnd"/>
      <w:r w:rsidRPr="00C72C2B">
        <w:rPr>
          <w:sz w:val="28"/>
          <w:szCs w:val="28"/>
          <w:lang w:val="uk-UA"/>
        </w:rPr>
        <w:t xml:space="preserve"> району Полтавської обл.», розробник - ТОВ «Проектне підприємство «</w:t>
      </w:r>
      <w:proofErr w:type="spellStart"/>
      <w:r w:rsidRPr="00C72C2B">
        <w:rPr>
          <w:sz w:val="28"/>
          <w:szCs w:val="28"/>
          <w:lang w:val="uk-UA"/>
        </w:rPr>
        <w:t>ПОЛТАВАКОМУНОРПРОЕКТ</w:t>
      </w:r>
      <w:proofErr w:type="spellEnd"/>
      <w:r w:rsidRPr="00C72C2B">
        <w:rPr>
          <w:sz w:val="28"/>
          <w:szCs w:val="28"/>
          <w:lang w:val="uk-UA"/>
        </w:rPr>
        <w:t>», 2010 р);</w:t>
      </w:r>
    </w:p>
    <w:p w:rsidR="00152852" w:rsidRPr="00C72C2B" w:rsidRDefault="00152852" w:rsidP="0015285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lastRenderedPageBreak/>
        <w:t>часткове закриття існуючого центрального кладовища по вул. Пам’яті – виділення території 0,26 га для захоронення, територію 3,11 га – закрити для поховань;</w:t>
      </w:r>
    </w:p>
    <w:p w:rsidR="00152852" w:rsidRPr="00C72C2B" w:rsidRDefault="00152852" w:rsidP="0015285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будівництво сортувальної станції </w:t>
      </w:r>
      <w:proofErr w:type="spellStart"/>
      <w:r w:rsidRPr="00C72C2B">
        <w:rPr>
          <w:sz w:val="28"/>
          <w:szCs w:val="28"/>
          <w:lang w:val="uk-UA"/>
        </w:rPr>
        <w:t>ТПВ</w:t>
      </w:r>
      <w:proofErr w:type="spellEnd"/>
      <w:r w:rsidRPr="00C72C2B">
        <w:rPr>
          <w:sz w:val="28"/>
          <w:szCs w:val="28"/>
          <w:lang w:val="uk-UA"/>
        </w:rPr>
        <w:t xml:space="preserve"> на базі існуючого сміттєзвалища;</w:t>
      </w:r>
    </w:p>
    <w:p w:rsidR="00152852" w:rsidRPr="00C72C2B" w:rsidRDefault="00152852" w:rsidP="0015285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реконструкцію існуючих очисних споруд поблизу села Пологи-Низ;</w:t>
      </w:r>
    </w:p>
    <w:p w:rsidR="00152852" w:rsidRPr="00C72C2B" w:rsidRDefault="00152852" w:rsidP="0015285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модернізацію існуючого </w:t>
      </w:r>
      <w:proofErr w:type="spellStart"/>
      <w:r w:rsidRPr="00C72C2B">
        <w:rPr>
          <w:sz w:val="28"/>
          <w:szCs w:val="28"/>
          <w:lang w:val="uk-UA"/>
        </w:rPr>
        <w:t>пождепо</w:t>
      </w:r>
      <w:proofErr w:type="spellEnd"/>
      <w:r w:rsidRPr="00C72C2B">
        <w:rPr>
          <w:sz w:val="28"/>
          <w:szCs w:val="28"/>
          <w:lang w:val="uk-UA"/>
        </w:rPr>
        <w:t>.</w:t>
      </w:r>
    </w:p>
    <w:p w:rsidR="00152852" w:rsidRPr="00C72C2B" w:rsidRDefault="00152852" w:rsidP="00152852">
      <w:pPr>
        <w:ind w:firstLine="709"/>
        <w:jc w:val="both"/>
        <w:rPr>
          <w:sz w:val="28"/>
          <w:szCs w:val="28"/>
          <w:lang w:val="uk-UA"/>
        </w:rPr>
      </w:pPr>
    </w:p>
    <w:p w:rsidR="00FC15A7" w:rsidRDefault="00C72C2B">
      <w:pPr>
        <w:rPr>
          <w:sz w:val="28"/>
          <w:szCs w:val="28"/>
          <w:lang w:val="uk-UA"/>
        </w:rPr>
      </w:pPr>
      <w:r w:rsidRPr="00C72C2B">
        <w:rPr>
          <w:b/>
          <w:sz w:val="28"/>
          <w:szCs w:val="28"/>
          <w:lang w:val="uk-UA"/>
        </w:rPr>
        <w:t>«План зонування території смт. Нові Санжари.»</w:t>
      </w:r>
      <w:r w:rsidRPr="00C72C2B">
        <w:rPr>
          <w:sz w:val="28"/>
          <w:szCs w:val="28"/>
          <w:lang w:val="uk-UA"/>
        </w:rPr>
        <w:t xml:space="preserve"> </w:t>
      </w:r>
    </w:p>
    <w:p w:rsidR="00FC15A7" w:rsidRDefault="00C72C2B">
      <w:pPr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у складі містобудівної документації </w:t>
      </w:r>
    </w:p>
    <w:p w:rsidR="0065173C" w:rsidRPr="00C72C2B" w:rsidRDefault="00C72C2B">
      <w:pPr>
        <w:rPr>
          <w:sz w:val="28"/>
          <w:szCs w:val="28"/>
          <w:lang w:val="uk-UA"/>
        </w:rPr>
      </w:pPr>
      <w:bookmarkStart w:id="10" w:name="_GoBack"/>
      <w:bookmarkEnd w:id="10"/>
      <w:r w:rsidRPr="00C72C2B">
        <w:rPr>
          <w:sz w:val="28"/>
          <w:szCs w:val="28"/>
          <w:lang w:val="uk-UA"/>
        </w:rPr>
        <w:t>«Проект генерального плану забудови території  смт. Нові Санжари Полтавської обл.»</w:t>
      </w:r>
    </w:p>
    <w:p w:rsidR="00C72C2B" w:rsidRPr="00C72C2B" w:rsidRDefault="00C72C2B" w:rsidP="00C72C2B">
      <w:pPr>
        <w:ind w:firstLine="567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Рішення щодо забудови, землекористування та благоустрою території селища та окремих ділянок приймаються на основі установленого </w:t>
      </w:r>
      <w:r>
        <w:rPr>
          <w:sz w:val="28"/>
          <w:szCs w:val="28"/>
          <w:lang w:val="uk-UA"/>
        </w:rPr>
        <w:t>планом  (</w:t>
      </w:r>
      <w:proofErr w:type="spellStart"/>
      <w:r w:rsidRPr="00C72C2B">
        <w:rPr>
          <w:sz w:val="28"/>
          <w:szCs w:val="28"/>
          <w:lang w:val="uk-UA"/>
        </w:rPr>
        <w:t>зонінгом</w:t>
      </w:r>
      <w:proofErr w:type="spellEnd"/>
      <w:r>
        <w:rPr>
          <w:sz w:val="28"/>
          <w:szCs w:val="28"/>
          <w:lang w:val="uk-UA"/>
        </w:rPr>
        <w:t>)</w:t>
      </w:r>
      <w:r w:rsidRPr="00C72C2B">
        <w:rPr>
          <w:sz w:val="28"/>
          <w:szCs w:val="28"/>
          <w:lang w:val="uk-UA"/>
        </w:rPr>
        <w:t xml:space="preserve"> переліку переважних, супутніх і допустимих видів забудови земельних ділянок, єдиних умов і обмежень, які діють у межах зон, визначених планом зонування, і розповсюджуються у рівній мірі на всі, розміщені в межах відповідних зон, земельні ділянки, інші об'єкти нерухомості, незалежно від форм власності.</w:t>
      </w:r>
    </w:p>
    <w:p w:rsidR="00C72C2B" w:rsidRPr="00C72C2B" w:rsidRDefault="00C72C2B" w:rsidP="00C72C2B">
      <w:pPr>
        <w:ind w:firstLine="567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Види використання земельної ділянки в межах певної категорії земель (крім земель сільськогосподарського призначення) визначаються її власником або користувачем в межах вимог, встановлених законодавством до використання земель цієї категорії, відповідно </w:t>
      </w:r>
      <w:proofErr w:type="spellStart"/>
      <w:r w:rsidRPr="00C72C2B">
        <w:rPr>
          <w:sz w:val="28"/>
          <w:szCs w:val="28"/>
          <w:lang w:val="uk-UA"/>
        </w:rPr>
        <w:t>зонінгу</w:t>
      </w:r>
      <w:proofErr w:type="spellEnd"/>
      <w:r w:rsidRPr="00C72C2B">
        <w:rPr>
          <w:sz w:val="28"/>
          <w:szCs w:val="28"/>
          <w:lang w:val="uk-UA"/>
        </w:rPr>
        <w:t>, іншої містобудівної документації та документації із землеустрою.</w:t>
      </w:r>
      <w:r w:rsidRPr="00C72C2B">
        <w:rPr>
          <w:sz w:val="28"/>
          <w:szCs w:val="28"/>
          <w:highlight w:val="green"/>
          <w:lang w:val="uk-UA"/>
        </w:rPr>
        <w:t xml:space="preserve"> </w:t>
      </w:r>
    </w:p>
    <w:p w:rsidR="00C72C2B" w:rsidRPr="00C72C2B" w:rsidRDefault="00C72C2B" w:rsidP="00C72C2B">
      <w:pPr>
        <w:ind w:firstLine="567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До переважних видів забудови земельних ділянок у межах окремих зон відносяться:</w:t>
      </w:r>
    </w:p>
    <w:p w:rsidR="00C72C2B" w:rsidRPr="00C72C2B" w:rsidRDefault="00C72C2B" w:rsidP="00C72C2B">
      <w:pPr>
        <w:pStyle w:val="a9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2C2B">
        <w:rPr>
          <w:rFonts w:ascii="Times New Roman" w:hAnsi="Times New Roman"/>
          <w:sz w:val="28"/>
          <w:szCs w:val="28"/>
          <w:lang w:val="uk-UA"/>
        </w:rPr>
        <w:t>види забудови та використання територій, які при умові дотримання будівельних норм та стандартів безпеки, інших обов'язкових вимог, не можуть бути заборонені;</w:t>
      </w:r>
    </w:p>
    <w:p w:rsidR="00C72C2B" w:rsidRPr="00C72C2B" w:rsidRDefault="00C72C2B" w:rsidP="00C72C2B">
      <w:pPr>
        <w:pStyle w:val="a9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2C2B">
        <w:rPr>
          <w:rFonts w:ascii="Times New Roman" w:hAnsi="Times New Roman"/>
          <w:sz w:val="28"/>
          <w:szCs w:val="28"/>
          <w:lang w:val="uk-UA"/>
        </w:rPr>
        <w:t xml:space="preserve">види забудови та використання, як супутні переважним видам, і які по відношенню до останніх є допоміжними; при відсутності на земельній ділянці переважного виду використання, супутній вид використання таким не є, та вважається недозволеним, якщо інше спеціально не обумовлюється </w:t>
      </w:r>
      <w:proofErr w:type="spellStart"/>
      <w:r w:rsidRPr="00C72C2B">
        <w:rPr>
          <w:rFonts w:ascii="Times New Roman" w:hAnsi="Times New Roman"/>
          <w:sz w:val="28"/>
          <w:szCs w:val="28"/>
          <w:lang w:val="uk-UA"/>
        </w:rPr>
        <w:t>зонінгом</w:t>
      </w:r>
      <w:proofErr w:type="spellEnd"/>
      <w:r w:rsidRPr="00C72C2B">
        <w:rPr>
          <w:rFonts w:ascii="Times New Roman" w:hAnsi="Times New Roman"/>
          <w:sz w:val="28"/>
          <w:szCs w:val="28"/>
          <w:lang w:val="uk-UA"/>
        </w:rPr>
        <w:t xml:space="preserve"> стосовно конкретних випадків та місць розташування нерухомості. </w:t>
      </w:r>
    </w:p>
    <w:p w:rsidR="00C72C2B" w:rsidRPr="00C72C2B" w:rsidRDefault="00C72C2B" w:rsidP="00C72C2B">
      <w:pPr>
        <w:ind w:firstLine="567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Для переважних видів забудови діє процедура загальних погоджень.</w:t>
      </w:r>
    </w:p>
    <w:p w:rsidR="00C72C2B" w:rsidRPr="00C72C2B" w:rsidRDefault="00C72C2B" w:rsidP="00C72C2B">
      <w:pPr>
        <w:ind w:firstLine="567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>До допустимих видів забудови земельних ділянок у межах окремих зон відносяться види забудови та використання нерухомості, для яких необхідне отримання спеціальних погоджень або спеціальних дозволів (спеціальних погоджень), в т. ч., і шляхом обговорень із залученням громадськості.</w:t>
      </w:r>
    </w:p>
    <w:p w:rsidR="00C72C2B" w:rsidRPr="00C72C2B" w:rsidRDefault="00C72C2B" w:rsidP="00C72C2B">
      <w:pPr>
        <w:ind w:firstLine="567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Для кожної зони встановлюються, як правило, декілька видів допустимого використання території, за винятком випадків, які особливо визначаються у текстовій частині, що входять до складу </w:t>
      </w:r>
      <w:proofErr w:type="spellStart"/>
      <w:r w:rsidRPr="00C72C2B">
        <w:rPr>
          <w:sz w:val="28"/>
          <w:szCs w:val="28"/>
          <w:lang w:val="uk-UA"/>
        </w:rPr>
        <w:t>зонінгу</w:t>
      </w:r>
      <w:proofErr w:type="spellEnd"/>
      <w:r w:rsidRPr="00C72C2B">
        <w:rPr>
          <w:sz w:val="28"/>
          <w:szCs w:val="28"/>
          <w:lang w:val="uk-UA"/>
        </w:rPr>
        <w:t>.</w:t>
      </w:r>
    </w:p>
    <w:p w:rsidR="00C72C2B" w:rsidRPr="00C72C2B" w:rsidRDefault="00C72C2B" w:rsidP="00C72C2B">
      <w:pPr>
        <w:ind w:firstLine="567"/>
        <w:jc w:val="both"/>
        <w:rPr>
          <w:sz w:val="28"/>
          <w:szCs w:val="28"/>
          <w:lang w:val="uk-UA"/>
        </w:rPr>
      </w:pPr>
      <w:r w:rsidRPr="00C72C2B">
        <w:rPr>
          <w:sz w:val="28"/>
          <w:szCs w:val="28"/>
          <w:lang w:val="uk-UA"/>
        </w:rPr>
        <w:t xml:space="preserve">Власники нерухомості мають право вибирати вид (або види) використання нерухомості, які є переважними для відповідних територіальних </w:t>
      </w:r>
      <w:r w:rsidRPr="00C72C2B">
        <w:rPr>
          <w:sz w:val="28"/>
          <w:szCs w:val="28"/>
          <w:lang w:val="uk-UA"/>
        </w:rPr>
        <w:lastRenderedPageBreak/>
        <w:t>зон, а також змінювати один вид переважного використання на інший вид переважного використання.</w:t>
      </w:r>
    </w:p>
    <w:p w:rsidR="00C72C2B" w:rsidRPr="00C72C2B" w:rsidRDefault="00C72C2B" w:rsidP="00C72C2B">
      <w:pPr>
        <w:ind w:firstLine="568"/>
        <w:rPr>
          <w:b/>
          <w:sz w:val="28"/>
          <w:szCs w:val="28"/>
          <w:u w:val="single"/>
          <w:lang w:val="uk-UA"/>
        </w:rPr>
      </w:pPr>
      <w:r w:rsidRPr="00C72C2B">
        <w:rPr>
          <w:b/>
          <w:sz w:val="28"/>
          <w:szCs w:val="28"/>
          <w:u w:val="single"/>
          <w:lang w:val="uk-UA"/>
        </w:rPr>
        <w:t xml:space="preserve">Планом зонування території смт. Нові Санжари визначено наступні територіальні зони та </w:t>
      </w:r>
      <w:proofErr w:type="spellStart"/>
      <w:r w:rsidRPr="00C72C2B">
        <w:rPr>
          <w:b/>
          <w:sz w:val="28"/>
          <w:szCs w:val="28"/>
          <w:u w:val="single"/>
          <w:lang w:val="uk-UA"/>
        </w:rPr>
        <w:t>підзони</w:t>
      </w:r>
      <w:proofErr w:type="spellEnd"/>
      <w:r w:rsidRPr="00C72C2B">
        <w:rPr>
          <w:b/>
          <w:sz w:val="28"/>
          <w:szCs w:val="28"/>
          <w:u w:val="single"/>
          <w:lang w:val="uk-UA"/>
        </w:rPr>
        <w:t>:</w:t>
      </w:r>
    </w:p>
    <w:tbl>
      <w:tblPr>
        <w:tblStyle w:val="TableGrid"/>
        <w:tblW w:w="9268" w:type="dxa"/>
        <w:tblInd w:w="301" w:type="dxa"/>
        <w:tblCellMar>
          <w:top w:w="16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7"/>
        <w:gridCol w:w="950"/>
        <w:gridCol w:w="7"/>
        <w:gridCol w:w="8297"/>
        <w:gridCol w:w="7"/>
      </w:tblGrid>
      <w:tr w:rsidR="00C72C2B" w:rsidRPr="00C72C2B" w:rsidTr="00CF0857">
        <w:trPr>
          <w:gridAfter w:val="1"/>
          <w:wAfter w:w="7" w:type="dxa"/>
          <w:trHeight w:val="401"/>
        </w:trPr>
        <w:tc>
          <w:tcPr>
            <w:tcW w:w="9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C2B" w:rsidRPr="00C72C2B" w:rsidRDefault="00C72C2B" w:rsidP="00CF0857">
            <w:pPr>
              <w:ind w:firstLine="650"/>
              <w:rPr>
                <w:sz w:val="28"/>
                <w:szCs w:val="28"/>
                <w:lang w:val="uk-UA"/>
              </w:rPr>
            </w:pPr>
            <w:bookmarkStart w:id="11" w:name="_Hlk483175021"/>
            <w:r w:rsidRPr="00C72C2B">
              <w:rPr>
                <w:b/>
                <w:i/>
                <w:sz w:val="28"/>
                <w:szCs w:val="28"/>
                <w:lang w:val="uk-UA"/>
              </w:rPr>
              <w:t>ГРОМАДСЬКІ ЗОНИ Г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Г-1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>Зона селищного центру та ділові зони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Г-2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Навчальна зона 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Г-2п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Перспективна навчальна зона* </w:t>
            </w:r>
          </w:p>
        </w:tc>
      </w:tr>
      <w:tr w:rsidR="00C72C2B" w:rsidRPr="00C72C2B" w:rsidTr="00CF0857">
        <w:trPr>
          <w:gridAfter w:val="1"/>
          <w:wAfter w:w="7" w:type="dxa"/>
          <w:trHeight w:val="307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Г-3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Культурна та спортивна зона </w:t>
            </w:r>
          </w:p>
        </w:tc>
      </w:tr>
      <w:tr w:rsidR="00C72C2B" w:rsidRPr="00C72C2B" w:rsidTr="00CF0857">
        <w:trPr>
          <w:gridAfter w:val="1"/>
          <w:wAfter w:w="7" w:type="dxa"/>
          <w:trHeight w:val="307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Г-3п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Перспективна культурна та спортивна зона* 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Г-4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Лікувальна зона </w:t>
            </w:r>
          </w:p>
        </w:tc>
      </w:tr>
      <w:tr w:rsidR="00C72C2B" w:rsidRPr="00C72C2B" w:rsidTr="00CF0857">
        <w:trPr>
          <w:gridAfter w:val="1"/>
          <w:wAfter w:w="7" w:type="dxa"/>
          <w:trHeight w:val="31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Г-4п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Перспективна лікувальна зона* </w:t>
            </w:r>
          </w:p>
        </w:tc>
      </w:tr>
      <w:tr w:rsidR="00C72C2B" w:rsidRPr="00C72C2B" w:rsidTr="00CF0857">
        <w:trPr>
          <w:gridAfter w:val="1"/>
          <w:wAfter w:w="7" w:type="dxa"/>
          <w:trHeight w:val="31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Г-5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Торгівельна зона 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Г-5п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Перспективна торгівельна зона* </w:t>
            </w:r>
          </w:p>
        </w:tc>
      </w:tr>
      <w:tr w:rsidR="00C72C2B" w:rsidRPr="00C72C2B" w:rsidTr="00CF0857">
        <w:trPr>
          <w:gridAfter w:val="1"/>
          <w:wAfter w:w="7" w:type="dxa"/>
          <w:trHeight w:val="286"/>
        </w:trPr>
        <w:tc>
          <w:tcPr>
            <w:tcW w:w="9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ЖИТЛОВІ ЗОНИ Ж</w:t>
            </w:r>
          </w:p>
        </w:tc>
      </w:tr>
      <w:tr w:rsidR="00C72C2B" w:rsidRPr="00C72C2B" w:rsidTr="00CF0857">
        <w:trPr>
          <w:gridAfter w:val="1"/>
          <w:wAfter w:w="7" w:type="dxa"/>
          <w:trHeight w:val="31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Ж-1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садибної забудови </w:t>
            </w:r>
          </w:p>
        </w:tc>
      </w:tr>
      <w:tr w:rsidR="00C72C2B" w:rsidRPr="00C72C2B" w:rsidTr="00CF0857">
        <w:trPr>
          <w:gridAfter w:val="1"/>
          <w:wAfter w:w="7" w:type="dxa"/>
          <w:trHeight w:val="307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Ж-1п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перспективної садибної забудови* </w:t>
            </w:r>
          </w:p>
        </w:tc>
      </w:tr>
      <w:tr w:rsidR="00C72C2B" w:rsidRPr="00C72C2B" w:rsidTr="00CF0857">
        <w:trPr>
          <w:gridAfter w:val="1"/>
          <w:wAfter w:w="7" w:type="dxa"/>
          <w:trHeight w:val="709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Ж-3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72C2B">
              <w:rPr>
                <w:sz w:val="28"/>
                <w:szCs w:val="28"/>
                <w:lang w:val="uk-UA"/>
              </w:rPr>
              <w:t>Зона змішаної</w:t>
            </w:r>
            <w:r w:rsidRPr="00C72C2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72C2B">
              <w:rPr>
                <w:sz w:val="28"/>
                <w:szCs w:val="28"/>
                <w:lang w:val="uk-UA"/>
              </w:rPr>
              <w:t xml:space="preserve">від 2-х до 5-х поверхів  житлової забудови  та громадської забудови </w:t>
            </w:r>
          </w:p>
        </w:tc>
      </w:tr>
      <w:tr w:rsidR="00C72C2B" w:rsidRPr="00C72C2B" w:rsidTr="00CF0857">
        <w:trPr>
          <w:gridAfter w:val="1"/>
          <w:wAfter w:w="7" w:type="dxa"/>
          <w:trHeight w:val="348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proofErr w:type="spellStart"/>
            <w:r w:rsidRPr="00C72C2B">
              <w:rPr>
                <w:b/>
                <w:i/>
                <w:sz w:val="28"/>
                <w:szCs w:val="28"/>
                <w:lang w:val="uk-UA"/>
              </w:rPr>
              <w:t>Жтн</w:t>
            </w:r>
            <w:proofErr w:type="spellEnd"/>
            <w:r w:rsidRPr="00C72C2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житлової забудови тимчасової невідповідності    </w:t>
            </w:r>
          </w:p>
        </w:tc>
      </w:tr>
      <w:tr w:rsidR="00C72C2B" w:rsidRPr="00C72C2B" w:rsidTr="00CF0857">
        <w:trPr>
          <w:gridAfter w:val="1"/>
          <w:wAfter w:w="7" w:type="dxa"/>
          <w:trHeight w:val="348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proofErr w:type="spellStart"/>
            <w:r w:rsidRPr="00C72C2B">
              <w:rPr>
                <w:b/>
                <w:i/>
                <w:sz w:val="28"/>
                <w:szCs w:val="28"/>
                <w:lang w:val="uk-UA"/>
              </w:rPr>
              <w:t>Жрез</w:t>
            </w:r>
            <w:proofErr w:type="spellEnd"/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резервної житлової забудови* </w:t>
            </w:r>
          </w:p>
        </w:tc>
      </w:tr>
      <w:tr w:rsidR="00C72C2B" w:rsidRPr="00C72C2B" w:rsidTr="00CF0857">
        <w:trPr>
          <w:gridAfter w:val="1"/>
          <w:wAfter w:w="7" w:type="dxa"/>
          <w:trHeight w:val="294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C2B" w:rsidRPr="00C72C2B" w:rsidRDefault="00C72C2B" w:rsidP="00CF0857">
            <w:pPr>
              <w:ind w:right="335"/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РЕКРЕАЦІЙНІ ЗОНИ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  <w:r w:rsidRPr="00C72C2B">
              <w:rPr>
                <w:i/>
                <w:sz w:val="28"/>
                <w:szCs w:val="28"/>
                <w:lang w:val="uk-UA"/>
              </w:rPr>
              <w:t>Р</w:t>
            </w:r>
          </w:p>
        </w:tc>
      </w:tr>
      <w:tr w:rsidR="00C72C2B" w:rsidRPr="00C72C2B" w:rsidTr="00CF0857">
        <w:trPr>
          <w:gridAfter w:val="1"/>
          <w:wAfter w:w="7" w:type="dxa"/>
          <w:trHeight w:val="306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Р-1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Рекреаційна зона природних ландшафтів </w:t>
            </w:r>
          </w:p>
        </w:tc>
      </w:tr>
      <w:tr w:rsidR="00C72C2B" w:rsidRPr="00C72C2B" w:rsidTr="00CF0857">
        <w:trPr>
          <w:gridAfter w:val="1"/>
          <w:wAfter w:w="7" w:type="dxa"/>
          <w:trHeight w:val="31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Р-2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Рекреаційна зона активного відпочинку 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Р-2п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Перспективна рекреаційна зона активного відпочинку* 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Р-3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Рекреаційна зона озеленених територій загального користування  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Р-3п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Перспективна рекреаційна зона озеленених територій загального 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b/>
                <w:i/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 xml:space="preserve">Р </w:t>
            </w:r>
            <w:proofErr w:type="spellStart"/>
            <w:r w:rsidRPr="00C72C2B">
              <w:rPr>
                <w:b/>
                <w:i/>
                <w:sz w:val="28"/>
                <w:szCs w:val="28"/>
                <w:lang w:val="uk-UA"/>
              </w:rPr>
              <w:t>ПЗС</w:t>
            </w:r>
            <w:proofErr w:type="spellEnd"/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озеленених територій загального користування в межах </w:t>
            </w:r>
            <w:proofErr w:type="spellStart"/>
            <w:r w:rsidRPr="00C72C2B">
              <w:rPr>
                <w:sz w:val="28"/>
                <w:szCs w:val="28"/>
                <w:lang w:val="uk-UA"/>
              </w:rPr>
              <w:t>ПЗС</w:t>
            </w:r>
            <w:proofErr w:type="spellEnd"/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72C2B">
              <w:rPr>
                <w:b/>
                <w:bCs/>
                <w:i/>
                <w:sz w:val="28"/>
                <w:szCs w:val="28"/>
                <w:lang w:val="uk-UA"/>
              </w:rPr>
              <w:t>ПЗФ</w:t>
            </w:r>
            <w:proofErr w:type="spellEnd"/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bCs/>
                <w:sz w:val="28"/>
                <w:szCs w:val="28"/>
                <w:lang w:val="uk-UA"/>
              </w:rPr>
              <w:t>Зона земель природно – заповідного фонду.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C72C2B">
              <w:rPr>
                <w:b/>
                <w:bCs/>
                <w:i/>
                <w:sz w:val="28"/>
                <w:szCs w:val="28"/>
                <w:lang w:val="uk-UA"/>
              </w:rPr>
              <w:t xml:space="preserve">Р </w:t>
            </w:r>
            <w:proofErr w:type="spellStart"/>
            <w:r w:rsidRPr="00C72C2B">
              <w:rPr>
                <w:b/>
                <w:bCs/>
                <w:i/>
                <w:sz w:val="28"/>
                <w:szCs w:val="28"/>
                <w:lang w:val="uk-UA"/>
              </w:rPr>
              <w:t>сзз</w:t>
            </w:r>
            <w:proofErr w:type="spellEnd"/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bCs/>
                <w:sz w:val="28"/>
                <w:szCs w:val="28"/>
                <w:lang w:val="uk-UA"/>
              </w:rPr>
            </w:pPr>
            <w:r w:rsidRPr="00C72C2B">
              <w:rPr>
                <w:bCs/>
                <w:sz w:val="28"/>
                <w:szCs w:val="28"/>
                <w:lang w:val="uk-UA"/>
              </w:rPr>
              <w:t xml:space="preserve">Зона зелених насаджень спеціального призначення в </w:t>
            </w:r>
            <w:proofErr w:type="spellStart"/>
            <w:r w:rsidRPr="00C72C2B">
              <w:rPr>
                <w:bCs/>
                <w:sz w:val="28"/>
                <w:szCs w:val="28"/>
                <w:lang w:val="uk-UA"/>
              </w:rPr>
              <w:t>СЗЗ</w:t>
            </w:r>
            <w:proofErr w:type="spellEnd"/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9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C2B" w:rsidRPr="00C72C2B" w:rsidRDefault="00C72C2B" w:rsidP="00CF0857">
            <w:pPr>
              <w:ind w:right="386"/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bCs/>
                <w:i/>
                <w:sz w:val="28"/>
                <w:szCs w:val="28"/>
                <w:lang w:val="uk-UA"/>
              </w:rPr>
              <w:t>КУРОРТНА ЗОНА – К</w:t>
            </w:r>
          </w:p>
        </w:tc>
      </w:tr>
      <w:tr w:rsidR="00C72C2B" w:rsidRPr="00C72C2B" w:rsidTr="00CF0857">
        <w:trPr>
          <w:gridAfter w:val="1"/>
          <w:wAfter w:w="7" w:type="dxa"/>
          <w:trHeight w:val="31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КВТ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bCs/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установ відпочинку і туризму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9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C2B" w:rsidRPr="00C72C2B" w:rsidRDefault="00C72C2B" w:rsidP="00CF0857">
            <w:pPr>
              <w:ind w:right="386"/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ЗОНИ ТРАНСПОРТНОЇ ІНФРАСТРУКТУРИ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C2B">
              <w:rPr>
                <w:b/>
                <w:i/>
                <w:sz w:val="28"/>
                <w:szCs w:val="28"/>
                <w:lang w:val="uk-UA"/>
              </w:rPr>
              <w:t>ТР</w:t>
            </w:r>
            <w:proofErr w:type="spellEnd"/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676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ТР-1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>Зона транспортної інфраструктури, до неї відносяться території вулиць, майданів (в межах червоних ліній).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6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ТР-2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>Зона транспортної інфраструктури, до неї відносяться території</w:t>
            </w:r>
            <w:r w:rsidRPr="00C72C2B">
              <w:rPr>
                <w:rFonts w:ascii="Arial" w:eastAsia="Arial" w:hAnsi="Arial" w:cs="Arial"/>
                <w:sz w:val="28"/>
                <w:szCs w:val="28"/>
                <w:lang w:val="uk-UA"/>
              </w:rPr>
              <w:t xml:space="preserve"> </w:t>
            </w:r>
            <w:r w:rsidRPr="00C72C2B">
              <w:rPr>
                <w:sz w:val="28"/>
                <w:szCs w:val="28"/>
                <w:lang w:val="uk-UA"/>
              </w:rPr>
              <w:t xml:space="preserve">авто вокзалів та автостанцій, транспортних вузлів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29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ТР-3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транспортної інфраструктури, до неї відносяться території </w:t>
            </w:r>
            <w:proofErr w:type="spellStart"/>
            <w:r w:rsidRPr="00C72C2B">
              <w:rPr>
                <w:sz w:val="28"/>
                <w:szCs w:val="28"/>
                <w:lang w:val="uk-UA"/>
              </w:rPr>
              <w:t>АЗС</w:t>
            </w:r>
            <w:proofErr w:type="spellEnd"/>
            <w:r w:rsidRPr="00C72C2B">
              <w:rPr>
                <w:sz w:val="28"/>
                <w:szCs w:val="28"/>
                <w:lang w:val="uk-UA"/>
              </w:rPr>
              <w:t xml:space="preserve">, СТО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04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C2B" w:rsidRPr="00C72C2B" w:rsidRDefault="00C72C2B" w:rsidP="00CF0857">
            <w:pPr>
              <w:ind w:right="381"/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ЗОНИ ІНЖЕНЕРНОЇ ІНФРАСТРУКТУРИ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  <w:r w:rsidRPr="00C72C2B">
              <w:rPr>
                <w:b/>
                <w:i/>
                <w:sz w:val="28"/>
                <w:szCs w:val="28"/>
                <w:lang w:val="uk-UA"/>
              </w:rPr>
              <w:t>ІН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1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ІН-1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>Зона об’єктів електромережі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46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lastRenderedPageBreak/>
              <w:t>ІН-2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>Зона розподільчих</w:t>
            </w:r>
            <w:r w:rsidRPr="00C72C2B">
              <w:rPr>
                <w:rFonts w:ascii="Arial" w:eastAsia="Arial" w:hAnsi="Arial" w:cs="Arial"/>
                <w:sz w:val="28"/>
                <w:szCs w:val="28"/>
                <w:lang w:val="uk-UA"/>
              </w:rPr>
              <w:t xml:space="preserve"> </w:t>
            </w:r>
            <w:r w:rsidRPr="00C72C2B">
              <w:rPr>
                <w:sz w:val="28"/>
                <w:szCs w:val="28"/>
                <w:lang w:val="uk-UA"/>
              </w:rPr>
              <w:t xml:space="preserve">об’єктів інженерної інфраструктури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268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C72C2B" w:rsidRPr="00C72C2B" w:rsidRDefault="00C72C2B" w:rsidP="00CF0857">
            <w:pPr>
              <w:ind w:right="400"/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КОМУНАЛЬНО-СКЛАДСЬКІ ЗОНИ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  <w:r w:rsidRPr="00C72C2B">
              <w:rPr>
                <w:b/>
                <w:i/>
                <w:sz w:val="28"/>
                <w:szCs w:val="28"/>
                <w:lang w:val="uk-UA"/>
              </w:rPr>
              <w:t>КС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1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КС-3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розміщення об'єктів 3 класу санітарної класифікації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1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КС-4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розміщення об'єктів 4 класу санітарної класифікації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07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КС-5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розміщення об'єктів 5 класу санітарної класифікації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06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proofErr w:type="spellStart"/>
            <w:r w:rsidRPr="00C72C2B">
              <w:rPr>
                <w:b/>
                <w:i/>
                <w:sz w:val="28"/>
                <w:szCs w:val="28"/>
                <w:lang w:val="uk-UA"/>
              </w:rPr>
              <w:t>КСп</w:t>
            </w:r>
            <w:proofErr w:type="spellEnd"/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Перспективні комунально-складські зони*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04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C2B" w:rsidRPr="00C72C2B" w:rsidRDefault="00C72C2B" w:rsidP="00CF0857">
            <w:pPr>
              <w:ind w:right="379"/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ВИРОБНИЧІ ЗОНИ В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0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В-4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підприємств V класу шкідливості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0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>В-5</w:t>
            </w: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Зона підприємств </w:t>
            </w:r>
            <w:proofErr w:type="spellStart"/>
            <w:r w:rsidRPr="00C72C2B">
              <w:rPr>
                <w:sz w:val="28"/>
                <w:szCs w:val="28"/>
                <w:lang w:val="uk-UA"/>
              </w:rPr>
              <w:t>ІV</w:t>
            </w:r>
            <w:proofErr w:type="spellEnd"/>
            <w:r w:rsidRPr="00C72C2B">
              <w:rPr>
                <w:sz w:val="28"/>
                <w:szCs w:val="28"/>
                <w:lang w:val="uk-UA"/>
              </w:rPr>
              <w:t xml:space="preserve"> класу шкідливості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06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proofErr w:type="spellStart"/>
            <w:r w:rsidRPr="00C72C2B">
              <w:rPr>
                <w:b/>
                <w:i/>
                <w:sz w:val="28"/>
                <w:szCs w:val="28"/>
                <w:lang w:val="uk-UA"/>
              </w:rPr>
              <w:t>Вп</w:t>
            </w:r>
            <w:proofErr w:type="spellEnd"/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Виробничі зони перспективні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2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C2B" w:rsidRPr="00C72C2B" w:rsidRDefault="00C72C2B" w:rsidP="00C72C2B">
            <w:pPr>
              <w:ind w:right="752"/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0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proofErr w:type="spellStart"/>
            <w:r w:rsidRPr="00C72C2B">
              <w:rPr>
                <w:b/>
                <w:i/>
                <w:sz w:val="28"/>
                <w:szCs w:val="28"/>
                <w:lang w:val="uk-UA"/>
              </w:rPr>
              <w:t>ВП</w:t>
            </w:r>
            <w:proofErr w:type="spellEnd"/>
            <w:r w:rsidRPr="00C72C2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>Водні поверхні</w:t>
            </w:r>
            <w:r w:rsidRPr="00C72C2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300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C72C2B" w:rsidRPr="00C72C2B" w:rsidTr="00CF0857">
        <w:tblPrEx>
          <w:tblCellMar>
            <w:top w:w="4" w:type="dxa"/>
            <w:left w:w="100" w:type="dxa"/>
            <w:right w:w="76" w:type="dxa"/>
          </w:tblCellMar>
        </w:tblPrEx>
        <w:trPr>
          <w:gridBefore w:val="1"/>
          <w:wBefore w:w="7" w:type="dxa"/>
          <w:trHeight w:val="299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2C2B" w:rsidRPr="00C72C2B" w:rsidRDefault="00C72C2B" w:rsidP="00CF0857">
            <w:pPr>
              <w:rPr>
                <w:sz w:val="28"/>
                <w:szCs w:val="28"/>
                <w:lang w:val="uk-UA"/>
              </w:rPr>
            </w:pPr>
            <w:r w:rsidRPr="00C72C2B">
              <w:rPr>
                <w:b/>
                <w:i/>
                <w:sz w:val="28"/>
                <w:szCs w:val="28"/>
                <w:lang w:val="uk-UA"/>
              </w:rPr>
              <w:t xml:space="preserve">СУ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2B" w:rsidRPr="00C72C2B" w:rsidRDefault="00C72C2B" w:rsidP="00C72C2B">
            <w:pPr>
              <w:jc w:val="left"/>
              <w:rPr>
                <w:sz w:val="28"/>
                <w:szCs w:val="28"/>
                <w:lang w:val="uk-UA"/>
              </w:rPr>
            </w:pPr>
            <w:r w:rsidRPr="00C72C2B">
              <w:rPr>
                <w:sz w:val="28"/>
                <w:szCs w:val="28"/>
                <w:lang w:val="uk-UA"/>
              </w:rPr>
              <w:t>Сільськогосподарські угіддя</w:t>
            </w:r>
            <w:r w:rsidRPr="00C72C2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bookmarkEnd w:id="11"/>
    </w:tbl>
    <w:p w:rsidR="00C72C2B" w:rsidRPr="00C72C2B" w:rsidRDefault="00C72C2B">
      <w:pPr>
        <w:rPr>
          <w:sz w:val="28"/>
          <w:szCs w:val="28"/>
          <w:lang w:val="uk-UA"/>
        </w:rPr>
      </w:pPr>
    </w:p>
    <w:sectPr w:rsidR="00C72C2B" w:rsidRPr="00C7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EBC"/>
    <w:multiLevelType w:val="hybridMultilevel"/>
    <w:tmpl w:val="36C0DD12"/>
    <w:lvl w:ilvl="0" w:tplc="79623752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E2D87"/>
    <w:multiLevelType w:val="hybridMultilevel"/>
    <w:tmpl w:val="8416A8B0"/>
    <w:lvl w:ilvl="0" w:tplc="F56000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2877"/>
    <w:multiLevelType w:val="hybridMultilevel"/>
    <w:tmpl w:val="43768898"/>
    <w:lvl w:ilvl="0" w:tplc="04DE0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D972DE"/>
    <w:multiLevelType w:val="hybridMultilevel"/>
    <w:tmpl w:val="D8663E88"/>
    <w:lvl w:ilvl="0" w:tplc="04DE0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8E0080"/>
    <w:multiLevelType w:val="hybridMultilevel"/>
    <w:tmpl w:val="CFAA3CA2"/>
    <w:lvl w:ilvl="0" w:tplc="CA8E497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730E34"/>
    <w:multiLevelType w:val="hybridMultilevel"/>
    <w:tmpl w:val="0AD4BF32"/>
    <w:lvl w:ilvl="0" w:tplc="04DE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A2995"/>
    <w:multiLevelType w:val="hybridMultilevel"/>
    <w:tmpl w:val="F020AB7A"/>
    <w:lvl w:ilvl="0" w:tplc="841CCF0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14417E"/>
    <w:multiLevelType w:val="hybridMultilevel"/>
    <w:tmpl w:val="9022E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2"/>
    <w:rsid w:val="00051D80"/>
    <w:rsid w:val="0005748A"/>
    <w:rsid w:val="00152852"/>
    <w:rsid w:val="004B5485"/>
    <w:rsid w:val="00535838"/>
    <w:rsid w:val="0065173C"/>
    <w:rsid w:val="00C72C2B"/>
    <w:rsid w:val="00EA072D"/>
    <w:rsid w:val="00F67767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BF59"/>
  <w15:chartTrackingRefBased/>
  <w15:docId w15:val="{FA995998-1FBC-4450-BD5D-FFE986B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28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852"/>
    <w:pPr>
      <w:keepNext/>
      <w:outlineLvl w:val="0"/>
    </w:pPr>
    <w:rPr>
      <w:rFonts w:ascii="Arial" w:hAnsi="Arial"/>
      <w:b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52852"/>
    <w:rPr>
      <w:rFonts w:ascii="Arial" w:eastAsiaTheme="minorHAnsi" w:hAnsi="Arial" w:cstheme="minorBidi"/>
      <w:b/>
      <w:spacing w:val="80"/>
      <w:sz w:val="28"/>
      <w:szCs w:val="22"/>
      <w:lang w:val="uk-UA" w:eastAsia="en-US"/>
    </w:rPr>
  </w:style>
  <w:style w:type="character" w:customStyle="1" w:styleId="a5">
    <w:name w:val="Название Знак"/>
    <w:link w:val="a3"/>
    <w:rsid w:val="00152852"/>
    <w:rPr>
      <w:rFonts w:ascii="Arial" w:hAnsi="Arial"/>
      <w:b/>
      <w:spacing w:val="80"/>
      <w:sz w:val="28"/>
      <w:lang w:val="uk-UA"/>
    </w:rPr>
  </w:style>
  <w:style w:type="paragraph" w:styleId="a4">
    <w:name w:val="Title"/>
    <w:basedOn w:val="a"/>
    <w:next w:val="a"/>
    <w:link w:val="a6"/>
    <w:uiPriority w:val="10"/>
    <w:qFormat/>
    <w:rsid w:val="001528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528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152852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574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4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72C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C72C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2017-05-03T04:45:00Z</cp:lastPrinted>
  <dcterms:created xsi:type="dcterms:W3CDTF">2017-05-02T20:12:00Z</dcterms:created>
  <dcterms:modified xsi:type="dcterms:W3CDTF">2017-05-22T13:50:00Z</dcterms:modified>
</cp:coreProperties>
</file>